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N w:val="0"/>
        <w:spacing w:line="360" w:lineRule="atLeast"/>
        <w:rPr>
          <w:rFonts w:ascii="黑体" w:hAnsi="宋体" w:eastAsia="黑体" w:cs="黑体"/>
          <w:szCs w:val="21"/>
        </w:rPr>
      </w:pPr>
      <w:r>
        <w:rPr>
          <w:rFonts w:ascii="Calibri" w:hAnsi="Calibri" w:eastAsia="宋体" w:cs="Times New Roman"/>
        </w:rPr>
        <w:drawing>
          <wp:anchor distT="0" distB="0" distL="114300" distR="114300" simplePos="0" relativeHeight="251659264" behindDoc="1" locked="0" layoutInCell="1" allowOverlap="1">
            <wp:simplePos x="0" y="0"/>
            <wp:positionH relativeFrom="margin">
              <wp:posOffset>1046480</wp:posOffset>
            </wp:positionH>
            <wp:positionV relativeFrom="paragraph">
              <wp:posOffset>165735</wp:posOffset>
            </wp:positionV>
            <wp:extent cx="5220335" cy="741045"/>
            <wp:effectExtent l="0" t="0" r="0" b="1905"/>
            <wp:wrapTight wrapText="bothSides">
              <wp:wrapPolygon>
                <wp:start x="19784" y="2221"/>
                <wp:lineTo x="5202" y="3332"/>
                <wp:lineTo x="788" y="5553"/>
                <wp:lineTo x="788" y="17769"/>
                <wp:lineTo x="1104" y="19990"/>
                <wp:lineTo x="1813" y="21100"/>
                <wp:lineTo x="2128" y="21100"/>
                <wp:lineTo x="20494" y="19990"/>
                <wp:lineTo x="21124" y="17213"/>
                <wp:lineTo x="20415" y="12216"/>
                <wp:lineTo x="20415" y="7219"/>
                <wp:lineTo x="20257" y="2221"/>
                <wp:lineTo x="19784" y="2221"/>
              </wp:wrapPolygon>
            </wp:wrapTight>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8" cstate="print"/>
                    <a:srcRect l="7149" t="45195" r="32698" b="49280"/>
                    <a:stretch>
                      <a:fillRect/>
                    </a:stretch>
                  </pic:blipFill>
                  <pic:spPr>
                    <a:xfrm>
                      <a:off x="0" y="0"/>
                      <a:ext cx="5220335" cy="741045"/>
                    </a:xfrm>
                    <a:prstGeom prst="rect">
                      <a:avLst/>
                    </a:prstGeom>
                    <a:ln>
                      <a:noFill/>
                    </a:ln>
                  </pic:spPr>
                </pic:pic>
              </a:graphicData>
            </a:graphic>
          </wp:anchor>
        </w:drawing>
      </w:r>
    </w:p>
    <w:p>
      <w:pPr>
        <w:autoSpaceDN w:val="0"/>
        <w:spacing w:line="360" w:lineRule="atLeast"/>
        <w:rPr>
          <w:rFonts w:ascii="黑体" w:hAnsi="宋体" w:eastAsia="黑体" w:cs="黑体"/>
          <w:szCs w:val="21"/>
        </w:rPr>
      </w:pPr>
    </w:p>
    <w:p>
      <w:pPr>
        <w:autoSpaceDN w:val="0"/>
        <w:spacing w:line="360" w:lineRule="atLeast"/>
        <w:rPr>
          <w:rFonts w:ascii="黑体" w:hAnsi="Times New Roman" w:eastAsia="黑体" w:cs="黑体"/>
          <w:b/>
          <w:sz w:val="36"/>
          <w:szCs w:val="36"/>
        </w:rPr>
      </w:pPr>
    </w:p>
    <w:p>
      <w:pPr>
        <w:rPr>
          <w:rFonts w:ascii="黑体" w:hAnsi="黑体" w:eastAsia="黑体" w:cs="黑体"/>
          <w:b/>
          <w:bCs/>
          <w:spacing w:val="17"/>
          <w:kern w:val="18"/>
          <w:sz w:val="52"/>
          <w:szCs w:val="52"/>
        </w:rPr>
      </w:pPr>
    </w:p>
    <w:p>
      <w:pPr>
        <w:jc w:val="center"/>
        <w:rPr>
          <w:rFonts w:ascii="黑体" w:hAnsi="黑体" w:eastAsia="黑体" w:cs="黑体"/>
          <w:b/>
          <w:bCs/>
          <w:spacing w:val="17"/>
          <w:sz w:val="52"/>
          <w:szCs w:val="52"/>
        </w:rPr>
      </w:pPr>
      <w:r>
        <w:rPr>
          <w:rFonts w:hint="eastAsia" w:ascii="黑体" w:hAnsi="黑体" w:eastAsia="黑体" w:cs="黑体"/>
          <w:b/>
          <w:bCs/>
          <w:spacing w:val="17"/>
          <w:kern w:val="18"/>
          <w:sz w:val="52"/>
          <w:szCs w:val="52"/>
        </w:rPr>
        <w:t>共青团员日常理论学习指南</w:t>
      </w:r>
    </w:p>
    <w:p>
      <w:pPr>
        <w:autoSpaceDN w:val="0"/>
        <w:spacing w:line="360" w:lineRule="atLeast"/>
        <w:rPr>
          <w:rFonts w:ascii="宋体" w:hAnsi="宋体" w:eastAsia="宋体" w:cs="宋体"/>
          <w:b/>
        </w:rPr>
      </w:pPr>
    </w:p>
    <w:p>
      <w:pPr>
        <w:jc w:val="center"/>
        <w:rPr>
          <w:rFonts w:ascii="黑体" w:hAnsi="黑体" w:eastAsia="黑体" w:cs="Andalus"/>
          <w:b/>
          <w:sz w:val="30"/>
          <w:szCs w:val="30"/>
        </w:rPr>
      </w:pPr>
      <w:r>
        <w:rPr>
          <w:rFonts w:hint="eastAsia" w:ascii="黑体" w:hAnsi="黑体" w:eastAsia="黑体" w:cs="Andalus"/>
          <w:b/>
          <w:sz w:val="30"/>
          <w:szCs w:val="30"/>
        </w:rPr>
        <w:t>2021年第</w:t>
      </w:r>
      <w:r>
        <w:rPr>
          <w:rFonts w:hint="eastAsia" w:ascii="黑体" w:hAnsi="黑体" w:eastAsia="黑体" w:cs="Andalus"/>
          <w:b/>
          <w:sz w:val="30"/>
          <w:szCs w:val="30"/>
          <w:lang w:val="en-US" w:eastAsia="zh-CN"/>
        </w:rPr>
        <w:t>10</w:t>
      </w:r>
      <w:r>
        <w:rPr>
          <w:rFonts w:hint="eastAsia" w:ascii="黑体" w:hAnsi="黑体" w:eastAsia="黑体" w:cs="Andalus"/>
          <w:b/>
          <w:sz w:val="30"/>
          <w:szCs w:val="30"/>
        </w:rPr>
        <w:t>期（2021.</w:t>
      </w:r>
      <w:r>
        <w:rPr>
          <w:rFonts w:hint="eastAsia" w:ascii="黑体" w:hAnsi="黑体" w:eastAsia="黑体" w:cs="Andalus"/>
          <w:b/>
          <w:sz w:val="30"/>
          <w:szCs w:val="30"/>
          <w:lang w:val="en-US" w:eastAsia="zh-CN"/>
        </w:rPr>
        <w:t>6</w:t>
      </w:r>
      <w:r>
        <w:rPr>
          <w:rFonts w:hint="eastAsia" w:ascii="黑体" w:hAnsi="黑体" w:eastAsia="黑体" w:cs="Andalus"/>
          <w:b/>
          <w:sz w:val="30"/>
          <w:szCs w:val="30"/>
        </w:rPr>
        <w:t>.1-2021.</w:t>
      </w:r>
      <w:r>
        <w:rPr>
          <w:rFonts w:hint="eastAsia" w:ascii="黑体" w:hAnsi="黑体" w:eastAsia="黑体" w:cs="Andalus"/>
          <w:b/>
          <w:sz w:val="30"/>
          <w:szCs w:val="30"/>
          <w:lang w:val="en-US" w:eastAsia="zh-CN"/>
        </w:rPr>
        <w:t>6</w:t>
      </w:r>
      <w:r>
        <w:rPr>
          <w:rFonts w:hint="eastAsia" w:ascii="黑体" w:hAnsi="黑体" w:eastAsia="黑体" w:cs="Andalus"/>
          <w:b/>
          <w:sz w:val="30"/>
          <w:szCs w:val="30"/>
        </w:rPr>
        <w:t>.3</w:t>
      </w:r>
      <w:r>
        <w:rPr>
          <w:rFonts w:hint="eastAsia" w:ascii="黑体" w:hAnsi="黑体" w:eastAsia="黑体" w:cs="Andalus"/>
          <w:b/>
          <w:sz w:val="30"/>
          <w:szCs w:val="30"/>
          <w:lang w:val="en-US" w:eastAsia="zh-CN"/>
        </w:rPr>
        <w:t>0</w:t>
      </w:r>
      <w:r>
        <w:rPr>
          <w:rFonts w:hint="eastAsia" w:ascii="黑体" w:hAnsi="黑体" w:eastAsia="黑体" w:cs="Andalus"/>
          <w:b/>
          <w:sz w:val="30"/>
          <w:szCs w:val="30"/>
        </w:rPr>
        <w:t>总第2</w:t>
      </w:r>
      <w:r>
        <w:rPr>
          <w:rFonts w:hint="eastAsia" w:ascii="黑体" w:hAnsi="黑体" w:eastAsia="黑体" w:cs="Andalus"/>
          <w:b/>
          <w:sz w:val="30"/>
          <w:szCs w:val="30"/>
          <w:lang w:val="en-US" w:eastAsia="zh-CN"/>
        </w:rPr>
        <w:t>8</w:t>
      </w:r>
      <w:r>
        <w:rPr>
          <w:rFonts w:hint="eastAsia" w:ascii="黑体" w:hAnsi="黑体" w:eastAsia="黑体" w:cs="Andalus"/>
          <w:b/>
          <w:sz w:val="30"/>
          <w:szCs w:val="30"/>
        </w:rPr>
        <w:t>期）</w:t>
      </w:r>
    </w:p>
    <w:p>
      <w:pPr>
        <w:rPr>
          <w:rFonts w:ascii="Andalus" w:hAnsi="Andalus" w:eastAsia="黑体" w:cs="Andalus"/>
          <w:b/>
          <w:sz w:val="30"/>
          <w:szCs w:val="30"/>
        </w:rPr>
      </w:pPr>
      <w:r>
        <w:rPr>
          <w:rFonts w:ascii="Calibri" w:hAnsi="Calibri" w:eastAsia="宋体" w:cs="Times New Roman"/>
        </w:rPr>
        <w:drawing>
          <wp:anchor distT="0" distB="0" distL="114300" distR="114300" simplePos="0" relativeHeight="251659264" behindDoc="1" locked="0" layoutInCell="1" allowOverlap="1">
            <wp:simplePos x="0" y="0"/>
            <wp:positionH relativeFrom="column">
              <wp:posOffset>1790700</wp:posOffset>
            </wp:positionH>
            <wp:positionV relativeFrom="paragraph">
              <wp:posOffset>669290</wp:posOffset>
            </wp:positionV>
            <wp:extent cx="2268220" cy="2334895"/>
            <wp:effectExtent l="0" t="0" r="0" b="8255"/>
            <wp:wrapTight wrapText="bothSides">
              <wp:wrapPolygon>
                <wp:start x="10703" y="0"/>
                <wp:lineTo x="1270" y="881"/>
                <wp:lineTo x="907" y="1586"/>
                <wp:lineTo x="1814" y="2996"/>
                <wp:lineTo x="1088" y="5816"/>
                <wp:lineTo x="0" y="8459"/>
                <wp:lineTo x="0" y="14275"/>
                <wp:lineTo x="1451" y="17094"/>
                <wp:lineTo x="1451" y="17447"/>
                <wp:lineTo x="4535" y="20267"/>
                <wp:lineTo x="8163" y="21500"/>
                <wp:lineTo x="9071" y="21500"/>
                <wp:lineTo x="11066" y="21500"/>
                <wp:lineTo x="12699" y="21500"/>
                <wp:lineTo x="16690" y="20443"/>
                <wp:lineTo x="16690" y="19914"/>
                <wp:lineTo x="18323" y="17447"/>
                <wp:lineTo x="19230" y="17094"/>
                <wp:lineTo x="20862" y="15156"/>
                <wp:lineTo x="20681" y="14275"/>
                <wp:lineTo x="21406" y="11631"/>
                <wp:lineTo x="21406" y="10574"/>
                <wp:lineTo x="19048" y="2291"/>
                <wp:lineTo x="17778" y="1586"/>
                <wp:lineTo x="13969" y="0"/>
                <wp:lineTo x="10703" y="0"/>
              </wp:wrapPolygon>
            </wp:wrapTight>
            <wp:docPr id="1028" name="图片 7"/>
            <wp:cNvGraphicFramePr/>
            <a:graphic xmlns:a="http://schemas.openxmlformats.org/drawingml/2006/main">
              <a:graphicData uri="http://schemas.openxmlformats.org/drawingml/2006/picture">
                <pic:pic xmlns:pic="http://schemas.openxmlformats.org/drawingml/2006/picture">
                  <pic:nvPicPr>
                    <pic:cNvPr id="1028" name="图片 7"/>
                    <pic:cNvPicPr/>
                  </pic:nvPicPr>
                  <pic:blipFill>
                    <a:blip r:embed="rId9" cstate="print"/>
                    <a:srcRect/>
                    <a:stretch>
                      <a:fillRect/>
                    </a:stretch>
                  </pic:blipFill>
                  <pic:spPr>
                    <a:xfrm>
                      <a:off x="0" y="0"/>
                      <a:ext cx="2268220" cy="2334895"/>
                    </a:xfrm>
                    <a:prstGeom prst="rect">
                      <a:avLst/>
                    </a:prstGeom>
                    <a:ln>
                      <a:noFill/>
                    </a:ln>
                  </pic:spPr>
                </pic:pic>
              </a:graphicData>
            </a:graphic>
          </wp:anchor>
        </w:drawing>
      </w:r>
    </w:p>
    <w:p>
      <w:pPr>
        <w:rPr>
          <w:rFonts w:ascii="Andalus" w:hAnsi="Andalus" w:eastAsia="黑体" w:cs="Andalus"/>
          <w:b/>
          <w:sz w:val="30"/>
          <w:szCs w:val="30"/>
        </w:rPr>
      </w:pPr>
    </w:p>
    <w:p>
      <w:pPr>
        <w:rPr>
          <w:rFonts w:ascii="黑体" w:hAnsi="宋体" w:eastAsia="黑体" w:cs="黑体"/>
          <w:sz w:val="52"/>
          <w:szCs w:val="52"/>
        </w:rPr>
      </w:pPr>
    </w:p>
    <w:p>
      <w:pPr>
        <w:jc w:val="right"/>
        <w:rPr>
          <w:rFonts w:ascii="黑体" w:hAnsi="宋体" w:eastAsia="黑体" w:cs="黑体"/>
          <w:sz w:val="52"/>
          <w:szCs w:val="52"/>
        </w:rPr>
      </w:pPr>
    </w:p>
    <w:p>
      <w:pPr>
        <w:rPr>
          <w:rFonts w:ascii="黑体" w:hAnsi="宋体" w:eastAsia="黑体" w:cs="黑体"/>
          <w:sz w:val="32"/>
          <w:szCs w:val="32"/>
        </w:rPr>
      </w:pPr>
    </w:p>
    <w:p>
      <w:pPr>
        <w:rPr>
          <w:rFonts w:ascii="黑体" w:hAnsi="宋体" w:eastAsia="黑体" w:cs="黑体"/>
          <w:sz w:val="32"/>
          <w:szCs w:val="32"/>
        </w:rPr>
      </w:pPr>
    </w:p>
    <w:p>
      <w:pPr>
        <w:rPr>
          <w:rFonts w:ascii="仿宋" w:hAnsi="仿宋" w:eastAsia="仿宋"/>
          <w:b/>
          <w:bCs/>
          <w:spacing w:val="28"/>
          <w:sz w:val="32"/>
          <w:szCs w:val="32"/>
        </w:rPr>
      </w:pPr>
    </w:p>
    <w:p>
      <w:pPr>
        <w:rPr>
          <w:rFonts w:ascii="仿宋" w:hAnsi="仿宋" w:eastAsia="仿宋"/>
          <w:b/>
          <w:bCs/>
          <w:spacing w:val="28"/>
          <w:sz w:val="32"/>
          <w:szCs w:val="32"/>
        </w:rPr>
      </w:pPr>
    </w:p>
    <w:p>
      <w:pPr>
        <w:ind w:firstLine="1885"/>
        <w:rPr>
          <w:rFonts w:ascii="仿宋" w:hAnsi="仿宋" w:eastAsia="仿宋"/>
          <w:b/>
          <w:bCs/>
          <w:spacing w:val="28"/>
          <w:sz w:val="32"/>
          <w:szCs w:val="32"/>
        </w:rPr>
      </w:pPr>
      <w:r>
        <w:rPr>
          <w:rFonts w:hint="eastAsia" w:ascii="仿宋" w:hAnsi="仿宋" w:eastAsia="仿宋"/>
          <w:b/>
          <w:bCs/>
          <w:spacing w:val="28"/>
          <w:sz w:val="32"/>
          <w:szCs w:val="32"/>
        </w:rPr>
        <w:t>主管：</w:t>
      </w:r>
      <w:r>
        <w:rPr>
          <w:rFonts w:hint="eastAsia" w:ascii="仿宋" w:hAnsi="仿宋" w:eastAsia="仿宋"/>
          <w:b/>
          <w:bCs/>
          <w:sz w:val="32"/>
          <w:szCs w:val="32"/>
        </w:rPr>
        <w:t>共青团河北工程技术学院委员会</w:t>
      </w:r>
    </w:p>
    <w:p>
      <w:pPr>
        <w:ind w:firstLine="1885"/>
        <w:jc w:val="left"/>
        <w:rPr>
          <w:rFonts w:ascii="仿宋" w:hAnsi="仿宋" w:eastAsia="仿宋"/>
          <w:b/>
          <w:bCs/>
          <w:spacing w:val="28"/>
          <w:sz w:val="32"/>
          <w:szCs w:val="32"/>
        </w:rPr>
      </w:pPr>
      <w:r>
        <w:rPr>
          <w:rFonts w:hint="eastAsia" w:ascii="仿宋" w:hAnsi="仿宋" w:eastAsia="仿宋"/>
          <w:b/>
          <w:bCs/>
          <w:spacing w:val="28"/>
          <w:sz w:val="32"/>
          <w:szCs w:val="32"/>
        </w:rPr>
        <w:t>主办： 校团委组织部</w:t>
      </w:r>
    </w:p>
    <w:p>
      <w:pPr>
        <w:ind w:firstLine="3213" w:firstLineChars="1000"/>
        <w:jc w:val="left"/>
        <w:rPr>
          <w:rFonts w:ascii="仿宋" w:hAnsi="仿宋" w:eastAsia="仿宋"/>
          <w:b/>
          <w:bCs/>
          <w:sz w:val="32"/>
          <w:szCs w:val="32"/>
        </w:rPr>
      </w:pPr>
      <w:r>
        <w:rPr>
          <w:rFonts w:hint="eastAsia" w:ascii="仿宋" w:hAnsi="仿宋" w:eastAsia="仿宋"/>
          <w:b/>
          <w:bCs/>
          <w:sz w:val="32"/>
          <w:szCs w:val="32"/>
        </w:rPr>
        <w:t>校团委青马学校管理中心</w:t>
      </w:r>
    </w:p>
    <w:p>
      <w:pPr>
        <w:ind w:firstLine="3213" w:firstLineChars="1000"/>
        <w:jc w:val="left"/>
        <w:rPr>
          <w:rFonts w:ascii="仿宋" w:hAnsi="仿宋" w:eastAsia="仿宋"/>
          <w:b/>
          <w:bCs/>
          <w:sz w:val="32"/>
          <w:szCs w:val="32"/>
        </w:rPr>
        <w:sectPr>
          <w:headerReference r:id="rId3" w:type="default"/>
          <w:footerReference r:id="rId4" w:type="default"/>
          <w:pgSz w:w="11906" w:h="16838"/>
          <w:pgMar w:top="1134" w:right="1134" w:bottom="1134" w:left="1134" w:header="851" w:footer="992" w:gutter="0"/>
          <w:pgNumType w:start="5"/>
          <w:cols w:space="720" w:num="1"/>
          <w:docGrid w:type="lines" w:linePitch="312" w:charSpace="0"/>
        </w:sectPr>
      </w:pPr>
      <w:r>
        <w:rPr>
          <w:rFonts w:hint="eastAsia" w:ascii="仿宋" w:hAnsi="仿宋" w:eastAsia="仿宋"/>
          <w:b/>
          <w:bCs/>
          <w:sz w:val="32"/>
          <w:szCs w:val="32"/>
        </w:rPr>
        <w:t>校团委团建与青年发展指导中心</w:t>
      </w:r>
    </w:p>
    <w:p>
      <w:pPr>
        <w:rPr>
          <w:rFonts w:ascii="黑体" w:hAnsi="黑体" w:eastAsia="黑体" w:cs="黑体"/>
          <w:b/>
          <w:bCs/>
          <w:spacing w:val="17"/>
          <w:kern w:val="18"/>
          <w:sz w:val="52"/>
          <w:szCs w:val="52"/>
        </w:rPr>
      </w:pPr>
    </w:p>
    <w:p>
      <w:pPr>
        <w:ind w:firstLine="1112" w:firstLineChars="200"/>
        <w:rPr>
          <w:rFonts w:ascii="黑体" w:hAnsi="黑体" w:eastAsia="黑体" w:cs="黑体"/>
          <w:b/>
          <w:bCs/>
          <w:spacing w:val="17"/>
          <w:kern w:val="18"/>
          <w:sz w:val="52"/>
          <w:szCs w:val="52"/>
        </w:rPr>
      </w:pPr>
    </w:p>
    <w:p>
      <w:pPr>
        <w:spacing w:line="360" w:lineRule="auto"/>
        <w:jc w:val="center"/>
        <w:rPr>
          <w:rFonts w:ascii="黑体" w:hAnsi="黑体" w:eastAsia="黑体" w:cs="黑体"/>
          <w:b/>
          <w:bCs/>
          <w:spacing w:val="17"/>
          <w:sz w:val="52"/>
          <w:szCs w:val="52"/>
        </w:rPr>
      </w:pPr>
      <w:r>
        <w:rPr>
          <w:rFonts w:hint="eastAsia" w:ascii="黑体" w:hAnsi="黑体" w:eastAsia="黑体" w:cs="黑体"/>
          <w:b/>
          <w:bCs/>
          <w:spacing w:val="17"/>
          <w:kern w:val="18"/>
          <w:sz w:val="52"/>
          <w:szCs w:val="52"/>
        </w:rPr>
        <w:t>共青团员日常理论学习指南编委会</w:t>
      </w:r>
    </w:p>
    <w:p>
      <w:pPr>
        <w:spacing w:line="360" w:lineRule="auto"/>
        <w:jc w:val="center"/>
        <w:rPr>
          <w:rFonts w:ascii="宋体" w:hAnsi="宋体" w:eastAsia="宋体" w:cs="宋体"/>
          <w:b/>
          <w:bCs/>
          <w:spacing w:val="-48"/>
          <w:sz w:val="28"/>
          <w:szCs w:val="28"/>
        </w:rPr>
      </w:pPr>
    </w:p>
    <w:p>
      <w:pPr>
        <w:spacing w:line="360" w:lineRule="auto"/>
        <w:jc w:val="center"/>
        <w:rPr>
          <w:rFonts w:ascii="仿宋" w:hAnsi="仿宋" w:eastAsia="仿宋"/>
          <w:b/>
          <w:bCs/>
          <w:spacing w:val="-48"/>
          <w:sz w:val="32"/>
          <w:szCs w:val="32"/>
        </w:rPr>
      </w:pPr>
      <w:r>
        <w:rPr>
          <w:rFonts w:hint="eastAsia" w:ascii="仿宋" w:hAnsi="仿宋" w:eastAsia="仿宋"/>
          <w:b/>
          <w:bCs/>
          <w:spacing w:val="-48"/>
          <w:sz w:val="32"/>
          <w:szCs w:val="32"/>
        </w:rPr>
        <w:t>主 编</w:t>
      </w:r>
    </w:p>
    <w:p>
      <w:pPr>
        <w:spacing w:line="360" w:lineRule="auto"/>
        <w:ind w:firstLine="1120" w:firstLineChars="400"/>
        <w:rPr>
          <w:rFonts w:ascii="仿宋" w:hAnsi="仿宋" w:eastAsia="仿宋"/>
          <w:b/>
          <w:bCs/>
          <w:sz w:val="32"/>
          <w:szCs w:val="32"/>
        </w:rPr>
      </w:pPr>
      <w:r>
        <w:rPr>
          <w:rFonts w:hint="eastAsia" w:ascii="仿宋" w:hAnsi="仿宋" w:eastAsia="仿宋"/>
          <w:sz w:val="28"/>
          <w:szCs w:val="28"/>
        </w:rPr>
        <w:t>学生处处长、校团委书记                        许庆斌</w:t>
      </w:r>
    </w:p>
    <w:p>
      <w:pPr>
        <w:spacing w:line="360" w:lineRule="auto"/>
        <w:jc w:val="center"/>
        <w:rPr>
          <w:rFonts w:ascii="仿宋" w:hAnsi="仿宋" w:eastAsia="仿宋"/>
          <w:b/>
          <w:bCs/>
          <w:sz w:val="32"/>
          <w:szCs w:val="32"/>
        </w:rPr>
      </w:pPr>
      <w:r>
        <w:rPr>
          <w:rFonts w:hint="eastAsia" w:ascii="仿宋" w:hAnsi="仿宋" w:eastAsia="仿宋"/>
          <w:b/>
          <w:bCs/>
          <w:sz w:val="32"/>
          <w:szCs w:val="32"/>
        </w:rPr>
        <w:t>执行主编</w:t>
      </w:r>
    </w:p>
    <w:p>
      <w:pPr>
        <w:spacing w:line="360" w:lineRule="auto"/>
        <w:ind w:firstLine="1120" w:firstLineChars="400"/>
        <w:rPr>
          <w:rFonts w:ascii="仿宋" w:hAnsi="仿宋" w:eastAsia="仿宋"/>
          <w:b/>
          <w:bCs/>
          <w:sz w:val="32"/>
          <w:szCs w:val="32"/>
        </w:rPr>
      </w:pPr>
      <w:r>
        <w:rPr>
          <w:rFonts w:hint="eastAsia" w:ascii="仿宋" w:hAnsi="仿宋" w:eastAsia="仿宋"/>
          <w:sz w:val="28"/>
          <w:szCs w:val="28"/>
        </w:rPr>
        <w:t>校团委副书记                                  谷溪</w:t>
      </w:r>
    </w:p>
    <w:p>
      <w:pPr>
        <w:spacing w:line="360" w:lineRule="auto"/>
        <w:jc w:val="center"/>
        <w:rPr>
          <w:rFonts w:ascii="仿宋" w:hAnsi="仿宋" w:eastAsia="仿宋"/>
          <w:b/>
          <w:bCs/>
          <w:sz w:val="32"/>
          <w:szCs w:val="32"/>
        </w:rPr>
      </w:pPr>
      <w:r>
        <w:rPr>
          <w:rFonts w:hint="eastAsia" w:ascii="仿宋" w:hAnsi="仿宋" w:eastAsia="仿宋"/>
          <w:b/>
          <w:bCs/>
          <w:sz w:val="32"/>
          <w:szCs w:val="32"/>
        </w:rPr>
        <w:t>执行副主编</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校团委组织部部长                              陈溥哲</w:t>
      </w:r>
    </w:p>
    <w:p>
      <w:pPr>
        <w:spacing w:line="360" w:lineRule="auto"/>
        <w:ind w:firstLine="1120" w:firstLineChars="400"/>
        <w:rPr>
          <w:rFonts w:ascii="仿宋" w:hAnsi="仿宋" w:eastAsia="仿宋"/>
          <w:sz w:val="28"/>
          <w:szCs w:val="28"/>
        </w:rPr>
      </w:pPr>
    </w:p>
    <w:p>
      <w:pPr>
        <w:spacing w:line="360" w:lineRule="auto"/>
        <w:ind w:firstLine="1120" w:firstLineChars="400"/>
        <w:rPr>
          <w:rFonts w:ascii="仿宋" w:hAnsi="仿宋" w:eastAsia="仿宋"/>
          <w:sz w:val="28"/>
          <w:szCs w:val="28"/>
        </w:rPr>
      </w:pPr>
      <w:r>
        <w:rPr>
          <w:rFonts w:hint="eastAsia" w:ascii="仿宋" w:hAnsi="仿宋" w:eastAsia="仿宋"/>
          <w:sz w:val="28"/>
          <w:szCs w:val="28"/>
        </w:rPr>
        <w:t>青马管理中心常务副主任                        朱柯宇</w:t>
      </w:r>
    </w:p>
    <w:p>
      <w:pPr>
        <w:spacing w:line="360" w:lineRule="auto"/>
        <w:ind w:firstLine="4186" w:firstLineChars="1303"/>
        <w:rPr>
          <w:rFonts w:ascii="仿宋" w:hAnsi="仿宋" w:eastAsia="仿宋"/>
          <w:b/>
          <w:bCs/>
          <w:sz w:val="32"/>
          <w:szCs w:val="32"/>
        </w:rPr>
      </w:pPr>
      <w:r>
        <w:rPr>
          <w:rFonts w:hint="eastAsia" w:ascii="仿宋" w:hAnsi="仿宋" w:eastAsia="仿宋"/>
          <w:b/>
          <w:bCs/>
          <w:sz w:val="32"/>
          <w:szCs w:val="32"/>
        </w:rPr>
        <w:t>责任编辑</w:t>
      </w:r>
    </w:p>
    <w:p>
      <w:pPr>
        <w:spacing w:line="360" w:lineRule="auto"/>
        <w:ind w:firstLine="1120" w:firstLineChars="400"/>
        <w:rPr>
          <w:rFonts w:ascii="仿宋" w:hAnsi="仿宋" w:eastAsia="仿宋"/>
          <w:sz w:val="28"/>
          <w:szCs w:val="28"/>
        </w:rPr>
        <w:sectPr>
          <w:footerReference r:id="rId5" w:type="default"/>
          <w:type w:val="continuous"/>
          <w:pgSz w:w="11900" w:h="16840"/>
          <w:pgMar w:top="1134" w:right="1134" w:bottom="1134" w:left="1134" w:header="0" w:footer="0" w:gutter="0"/>
          <w:pgNumType w:start="1"/>
          <w:cols w:space="720" w:num="1"/>
          <w:docGrid w:linePitch="360" w:charSpace="0"/>
        </w:sectPr>
      </w:pPr>
      <w:r>
        <w:rPr>
          <w:rFonts w:hint="eastAsia" w:ascii="仿宋" w:hAnsi="仿宋" w:eastAsia="仿宋"/>
          <w:sz w:val="28"/>
          <w:szCs w:val="28"/>
        </w:rPr>
        <w:t>团建与青年工作发展指导中心主任                席源</w:t>
      </w:r>
    </w:p>
    <w:p>
      <w:pPr>
        <w:spacing w:line="360" w:lineRule="auto"/>
        <w:rPr>
          <w:rFonts w:ascii="仿宋" w:hAnsi="仿宋" w:eastAsia="仿宋"/>
          <w:b/>
          <w:bCs/>
          <w:sz w:val="32"/>
          <w:szCs w:val="32"/>
        </w:rPr>
      </w:pPr>
    </w:p>
    <w:p>
      <w:pPr>
        <w:spacing w:line="360" w:lineRule="auto"/>
        <w:jc w:val="center"/>
        <w:rPr>
          <w:rFonts w:ascii="仿宋" w:hAnsi="仿宋" w:eastAsia="仿宋"/>
          <w:b/>
          <w:bCs/>
          <w:sz w:val="32"/>
          <w:szCs w:val="32"/>
        </w:rPr>
      </w:pPr>
      <w:r>
        <w:rPr>
          <w:rFonts w:hint="eastAsia" w:ascii="仿宋" w:hAnsi="仿宋" w:eastAsia="仿宋"/>
          <w:b/>
          <w:bCs/>
          <w:sz w:val="32"/>
          <w:szCs w:val="32"/>
        </w:rPr>
        <w:t>编委会</w:t>
      </w:r>
    </w:p>
    <w:p>
      <w:pPr>
        <w:spacing w:line="360" w:lineRule="auto"/>
        <w:ind w:firstLine="964" w:firstLineChars="300"/>
        <w:rPr>
          <w:rFonts w:ascii="仿宋" w:hAnsi="仿宋" w:eastAsia="仿宋"/>
          <w:b/>
          <w:bCs/>
          <w:sz w:val="32"/>
          <w:szCs w:val="32"/>
        </w:rPr>
      </w:pPr>
      <w:r>
        <w:rPr>
          <w:rFonts w:hint="eastAsia" w:ascii="仿宋" w:hAnsi="仿宋" w:eastAsia="仿宋"/>
          <w:b/>
          <w:bCs/>
          <w:sz w:val="32"/>
          <w:szCs w:val="32"/>
        </w:rPr>
        <w:t>编辑：</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青马学校管理中心副主任                        吴怀欣</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青马学校管理中心副主任                        牛子欣</w:t>
      </w:r>
    </w:p>
    <w:p>
      <w:pPr>
        <w:spacing w:line="360" w:lineRule="auto"/>
        <w:ind w:firstLine="1120" w:firstLineChars="400"/>
        <w:rPr>
          <w:rFonts w:ascii="仿宋" w:hAnsi="仿宋" w:eastAsia="仿宋"/>
          <w:sz w:val="28"/>
          <w:szCs w:val="28"/>
        </w:rPr>
      </w:pPr>
      <w:r>
        <w:rPr>
          <w:rFonts w:hint="eastAsia" w:ascii="仿宋" w:hAnsi="仿宋" w:eastAsia="仿宋"/>
          <w:sz w:val="28"/>
          <w:szCs w:val="28"/>
        </w:rPr>
        <w:t>团建与青年工作发展中心网络团建工作部部长      赵佳姿、武杨鑫</w:t>
      </w:r>
    </w:p>
    <w:p>
      <w:pPr>
        <w:tabs>
          <w:tab w:val="left" w:pos="7622"/>
        </w:tabs>
        <w:spacing w:line="360" w:lineRule="auto"/>
        <w:ind w:firstLine="1120" w:firstLineChars="400"/>
        <w:rPr>
          <w:rFonts w:ascii="仿宋" w:hAnsi="仿宋" w:eastAsia="仿宋"/>
          <w:sz w:val="28"/>
          <w:szCs w:val="28"/>
        </w:rPr>
      </w:pPr>
      <w:r>
        <w:rPr>
          <w:rFonts w:hint="eastAsia" w:ascii="仿宋" w:hAnsi="仿宋" w:eastAsia="仿宋"/>
          <w:sz w:val="28"/>
          <w:szCs w:val="28"/>
        </w:rPr>
        <w:t>团建与青年工作发展中心团员教育与发展部部长    孟祥薇、曹飒</w:t>
      </w:r>
    </w:p>
    <w:p>
      <w:pPr>
        <w:spacing w:line="360" w:lineRule="auto"/>
        <w:ind w:firstLine="1120" w:firstLineChars="400"/>
        <w:rPr>
          <w:rFonts w:ascii="仿宋" w:hAnsi="仿宋" w:eastAsia="仿宋"/>
          <w:sz w:val="28"/>
          <w:szCs w:val="28"/>
        </w:rPr>
        <w:sectPr>
          <w:footerReference r:id="rId6" w:type="default"/>
          <w:type w:val="continuous"/>
          <w:pgSz w:w="11900" w:h="16840"/>
          <w:pgMar w:top="1134" w:right="1134" w:bottom="1134" w:left="1134" w:header="0" w:footer="0" w:gutter="0"/>
          <w:pgNumType w:start="1"/>
          <w:cols w:space="720" w:num="1"/>
          <w:docGrid w:linePitch="360" w:charSpace="0"/>
        </w:sectPr>
      </w:pPr>
    </w:p>
    <w:p>
      <w:pPr>
        <w:spacing w:before="312" w:beforeLines="100" w:after="312" w:afterLines="100" w:line="480" w:lineRule="auto"/>
        <w:jc w:val="center"/>
        <w:rPr>
          <w:rFonts w:ascii="仿宋" w:hAnsi="仿宋" w:eastAsia="仿宋"/>
          <w:sz w:val="36"/>
          <w:szCs w:val="36"/>
        </w:rPr>
      </w:pPr>
      <w:bookmarkStart w:id="0" w:name="_Toc22246"/>
      <w:bookmarkStart w:id="1" w:name="_Toc6830"/>
      <w:bookmarkStart w:id="2" w:name="_Toc30356_WPSOffice_Level1"/>
      <w:bookmarkStart w:id="3" w:name="_Toc29219"/>
      <w:bookmarkStart w:id="4" w:name="_Toc10828"/>
      <w:bookmarkStart w:id="5" w:name="_Toc29032"/>
      <w:bookmarkStart w:id="6" w:name="_Toc13462"/>
      <w:bookmarkStart w:id="7" w:name="_Toc24916"/>
      <w:bookmarkStart w:id="8" w:name="_Toc15135"/>
      <w:r>
        <w:rPr>
          <w:rFonts w:hint="eastAsia" w:ascii="仿宋" w:hAnsi="仿宋" w:eastAsia="仿宋"/>
          <w:sz w:val="36"/>
          <w:szCs w:val="36"/>
        </w:rPr>
        <w:t>目录</w:t>
      </w:r>
    </w:p>
    <w:p>
      <w:pPr>
        <w:pStyle w:val="8"/>
        <w:tabs>
          <w:tab w:val="right" w:leader="dot" w:pos="8300"/>
        </w:tabs>
        <w:spacing w:line="360" w:lineRule="auto"/>
        <w:ind w:left="-240" w:leftChars="-100" w:firstLine="240" w:firstLineChars="100"/>
        <w:rPr>
          <w:rFonts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fldChar w:fldCharType="begin"/>
      </w:r>
      <w:r>
        <w:instrText xml:space="preserve"> HYPERLINK \l "_Toc28044" </w:instrText>
      </w:r>
      <w:r>
        <w:fldChar w:fldCharType="separate"/>
      </w:r>
      <w:r>
        <w:rPr>
          <w:rFonts w:hint="eastAsia" w:ascii="仿宋" w:hAnsi="仿宋" w:eastAsia="仿宋" w:cs="仿宋"/>
          <w:b/>
          <w:bCs/>
        </w:rPr>
        <w:t>第一章</w:t>
      </w:r>
      <w:r>
        <w:rPr>
          <w:rFonts w:hint="eastAsia" w:ascii="仿宋" w:hAnsi="仿宋" w:eastAsia="仿宋" w:cs="仿宋"/>
          <w:b/>
          <w:bCs/>
          <w:lang w:val="en-US" w:eastAsia="zh-CN"/>
        </w:rPr>
        <w:t xml:space="preserve"> </w:t>
      </w:r>
      <w:r>
        <w:rPr>
          <w:rFonts w:hint="eastAsia" w:ascii="仿宋" w:hAnsi="仿宋" w:eastAsia="仿宋" w:cs="仿宋"/>
          <w:b/>
          <w:bCs/>
        </w:rPr>
        <w:t>共青团常识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_Toc28044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9"/>
        <w:tabs>
          <w:tab w:val="right" w:leader="dot" w:pos="8300"/>
        </w:tabs>
        <w:spacing w:line="360" w:lineRule="auto"/>
        <w:ind w:left="480"/>
        <w:rPr>
          <w:rFonts w:ascii="仿宋" w:hAnsi="仿宋" w:eastAsia="仿宋" w:cs="仿宋"/>
        </w:rPr>
      </w:pPr>
      <w:r>
        <w:fldChar w:fldCharType="begin"/>
      </w:r>
      <w:r>
        <w:instrText xml:space="preserve"> HYPERLINK \l "_Toc24051" </w:instrText>
      </w:r>
      <w:r>
        <w:fldChar w:fldCharType="separate"/>
      </w:r>
      <w:r>
        <w:rPr>
          <w:rFonts w:hint="eastAsia" w:ascii="仿宋" w:hAnsi="仿宋" w:eastAsia="仿宋" w:cs="仿宋"/>
          <w:bCs/>
        </w:rPr>
        <w:t>团史</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_Toc24051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9"/>
        <w:tabs>
          <w:tab w:val="right" w:leader="dot" w:pos="8300"/>
        </w:tabs>
        <w:spacing w:line="360" w:lineRule="auto"/>
        <w:ind w:left="480"/>
        <w:rPr>
          <w:rFonts w:ascii="仿宋" w:hAnsi="仿宋" w:eastAsia="仿宋" w:cs="仿宋"/>
        </w:rPr>
      </w:pPr>
      <w:r>
        <w:fldChar w:fldCharType="begin"/>
      </w:r>
      <w:r>
        <w:instrText xml:space="preserve"> HYPERLINK \l "_Toc10172" </w:instrText>
      </w:r>
      <w:r>
        <w:fldChar w:fldCharType="separate"/>
      </w:r>
      <w:r>
        <w:rPr>
          <w:rFonts w:hint="eastAsia" w:ascii="仿宋" w:hAnsi="仿宋" w:eastAsia="仿宋" w:cs="仿宋"/>
          <w:bCs/>
        </w:rPr>
        <w:t>团章（节选）</w:t>
      </w:r>
      <w:r>
        <w:rPr>
          <w:rFonts w:hint="eastAsia" w:ascii="仿宋" w:hAnsi="仿宋" w:eastAsia="仿宋" w:cs="仿宋"/>
        </w:rPr>
        <w:tab/>
      </w:r>
      <w:r>
        <w:rPr>
          <w:rFonts w:hint="eastAsia" w:ascii="仿宋" w:hAnsi="仿宋" w:eastAsia="仿宋" w:cs="仿宋"/>
        </w:rPr>
        <w:t>1</w:t>
      </w:r>
      <w:r>
        <w:rPr>
          <w:rFonts w:ascii="仿宋" w:hAnsi="仿宋" w:eastAsia="仿宋" w:cs="仿宋"/>
        </w:rPr>
        <w:t>3</w:t>
      </w:r>
      <w:r>
        <w:rPr>
          <w:rFonts w:ascii="仿宋" w:hAnsi="仿宋" w:eastAsia="仿宋" w:cs="仿宋"/>
        </w:rPr>
        <w:fldChar w:fldCharType="end"/>
      </w:r>
    </w:p>
    <w:p>
      <w:pPr>
        <w:pStyle w:val="8"/>
        <w:tabs>
          <w:tab w:val="right" w:leader="dot" w:pos="8300"/>
        </w:tabs>
        <w:spacing w:line="360" w:lineRule="auto"/>
        <w:ind w:left="-240" w:leftChars="-100" w:firstLine="240" w:firstLineChars="100"/>
        <w:rPr>
          <w:rFonts w:ascii="仿宋" w:hAnsi="仿宋" w:eastAsia="仿宋" w:cs="仿宋"/>
        </w:rPr>
      </w:pPr>
      <w:r>
        <w:fldChar w:fldCharType="begin"/>
      </w:r>
      <w:r>
        <w:instrText xml:space="preserve"> HYPERLINK \l "_Toc19026" </w:instrText>
      </w:r>
      <w:r>
        <w:fldChar w:fldCharType="separate"/>
      </w:r>
      <w:r>
        <w:rPr>
          <w:rFonts w:hint="eastAsia" w:ascii="仿宋" w:hAnsi="仿宋" w:eastAsia="仿宋" w:cs="仿宋"/>
          <w:b/>
        </w:rPr>
        <w:t>第二章 时事政治</w:t>
      </w:r>
      <w:r>
        <w:rPr>
          <w:rFonts w:hint="eastAsia" w:ascii="仿宋" w:hAnsi="仿宋" w:eastAsia="仿宋" w:cs="仿宋"/>
        </w:rPr>
        <w:tab/>
      </w:r>
      <w:r>
        <w:rPr>
          <w:rFonts w:hint="eastAsia" w:ascii="仿宋" w:hAnsi="仿宋" w:eastAsia="仿宋" w:cs="仿宋"/>
        </w:rPr>
        <w:t>1</w:t>
      </w:r>
      <w:r>
        <w:rPr>
          <w:rFonts w:ascii="仿宋" w:hAnsi="仿宋" w:eastAsia="仿宋" w:cs="仿宋"/>
        </w:rPr>
        <w:t>5</w:t>
      </w:r>
      <w:r>
        <w:rPr>
          <w:rFonts w:ascii="仿宋" w:hAnsi="仿宋" w:eastAsia="仿宋" w:cs="仿宋"/>
        </w:rPr>
        <w:fldChar w:fldCharType="end"/>
      </w:r>
    </w:p>
    <w:p>
      <w:pPr>
        <w:pStyle w:val="9"/>
        <w:tabs>
          <w:tab w:val="right" w:leader="dot" w:pos="8300"/>
        </w:tabs>
        <w:spacing w:line="360" w:lineRule="auto"/>
        <w:ind w:left="360" w:leftChars="150"/>
        <w:rPr>
          <w:rFonts w:ascii="仿宋" w:hAnsi="仿宋" w:eastAsia="仿宋" w:cs="仿宋"/>
          <w:b/>
          <w:bCs/>
        </w:rPr>
      </w:pPr>
      <w:r>
        <w:fldChar w:fldCharType="begin"/>
      </w:r>
      <w:r>
        <w:instrText xml:space="preserve"> HYPERLINK \l "_Toc12269" </w:instrText>
      </w:r>
      <w:r>
        <w:fldChar w:fldCharType="separate"/>
      </w:r>
      <w:r>
        <w:rPr>
          <w:rFonts w:hint="eastAsia" w:ascii="仿宋" w:hAnsi="仿宋" w:eastAsia="仿宋" w:cs="仿宋"/>
          <w:b/>
          <w:bCs/>
        </w:rPr>
        <w:t>国内新闻</w:t>
      </w:r>
      <w:r>
        <w:rPr>
          <w:rFonts w:hint="eastAsia" w:ascii="仿宋" w:hAnsi="仿宋" w:eastAsia="仿宋" w:cs="仿宋"/>
        </w:rPr>
        <w:tab/>
      </w:r>
      <w:r>
        <w:rPr>
          <w:rFonts w:hint="eastAsia" w:ascii="仿宋" w:hAnsi="仿宋" w:eastAsia="仿宋" w:cs="仿宋"/>
        </w:rPr>
        <w:t>1</w:t>
      </w:r>
      <w:r>
        <w:rPr>
          <w:rFonts w:ascii="仿宋" w:hAnsi="仿宋" w:eastAsia="仿宋" w:cs="仿宋"/>
        </w:rPr>
        <w:t>5</w:t>
      </w:r>
      <w:r>
        <w:rPr>
          <w:rFonts w:ascii="仿宋" w:hAnsi="仿宋" w:eastAsia="仿宋" w:cs="仿宋"/>
        </w:rPr>
        <w:fldChar w:fldCharType="end"/>
      </w:r>
    </w:p>
    <w:p>
      <w:pPr>
        <w:pStyle w:val="5"/>
        <w:tabs>
          <w:tab w:val="right" w:leader="dot" w:pos="8300"/>
        </w:tabs>
        <w:spacing w:line="360" w:lineRule="auto"/>
        <w:ind w:leftChars="350"/>
        <w:rPr>
          <w:rFonts w:ascii="仿宋" w:hAnsi="仿宋" w:eastAsia="仿宋" w:cs="仿宋"/>
        </w:rPr>
      </w:pPr>
      <w:r>
        <w:fldChar w:fldCharType="begin"/>
      </w:r>
      <w:r>
        <w:instrText xml:space="preserve"> HYPERLINK \l "_Toc28538" </w:instrText>
      </w:r>
      <w:r>
        <w:fldChar w:fldCharType="separate"/>
      </w:r>
      <w:r>
        <w:rPr>
          <w:rFonts w:hint="eastAsia" w:ascii="仿宋" w:hAnsi="仿宋" w:eastAsia="仿宋" w:cs="仿宋"/>
        </w:rPr>
        <w:t>1.钟南山院士：国产疫苗对德尔塔毒株有效，大家应该打</w:t>
      </w:r>
      <w:r>
        <w:rPr>
          <w:rFonts w:hint="eastAsia" w:ascii="仿宋" w:hAnsi="仿宋" w:eastAsia="仿宋" w:cs="仿宋"/>
        </w:rPr>
        <w:tab/>
      </w:r>
      <w:r>
        <w:rPr>
          <w:rFonts w:hint="eastAsia" w:ascii="仿宋" w:hAnsi="仿宋" w:eastAsia="仿宋" w:cs="仿宋"/>
        </w:rPr>
        <w:t>1</w:t>
      </w:r>
      <w:r>
        <w:rPr>
          <w:rFonts w:ascii="仿宋" w:hAnsi="仿宋" w:eastAsia="仿宋" w:cs="仿宋"/>
        </w:rPr>
        <w:t>5</w:t>
      </w:r>
      <w:r>
        <w:rPr>
          <w:rFonts w:ascii="仿宋" w:hAnsi="仿宋" w:eastAsia="仿宋" w:cs="仿宋"/>
        </w:rPr>
        <w:fldChar w:fldCharType="end"/>
      </w:r>
    </w:p>
    <w:p>
      <w:pPr>
        <w:pStyle w:val="5"/>
        <w:tabs>
          <w:tab w:val="right" w:leader="dot" w:pos="8300"/>
        </w:tabs>
        <w:spacing w:line="360" w:lineRule="auto"/>
        <w:ind w:leftChars="350"/>
        <w:rPr>
          <w:rFonts w:ascii="仿宋" w:hAnsi="仿宋" w:eastAsia="仿宋" w:cs="仿宋"/>
        </w:rPr>
      </w:pPr>
      <w:r>
        <w:fldChar w:fldCharType="begin"/>
      </w:r>
      <w:r>
        <w:instrText xml:space="preserve"> HYPERLINK \l "_Toc5736" </w:instrText>
      </w:r>
      <w:r>
        <w:fldChar w:fldCharType="separate"/>
      </w:r>
      <w:r>
        <w:rPr>
          <w:rFonts w:hint="eastAsia" w:ascii="仿宋" w:hAnsi="仿宋" w:eastAsia="仿宋" w:cs="仿宋"/>
          <w:bCs/>
        </w:rPr>
        <w:t>2</w:t>
      </w:r>
      <w:r>
        <w:rPr>
          <w:rFonts w:hint="eastAsia" w:ascii="仿宋" w:hAnsi="仿宋" w:eastAsia="仿宋" w:cs="仿宋"/>
          <w:bCs/>
          <w:lang w:val="en-US" w:eastAsia="zh-CN"/>
        </w:rPr>
        <w:t>."祝融"好样的! 人类首次拍下火星车在火星移动影像</w:t>
      </w:r>
      <w:r>
        <w:rPr>
          <w:rFonts w:hint="eastAsia" w:ascii="仿宋" w:hAnsi="仿宋" w:eastAsia="仿宋" w:cs="仿宋"/>
        </w:rPr>
        <w:tab/>
      </w:r>
      <w:r>
        <w:rPr>
          <w:rFonts w:hint="eastAsia" w:ascii="仿宋" w:hAnsi="仿宋" w:eastAsia="仿宋" w:cs="仿宋"/>
        </w:rPr>
        <w:t>1</w:t>
      </w:r>
      <w:r>
        <w:rPr>
          <w:rFonts w:ascii="仿宋" w:hAnsi="仿宋" w:eastAsia="仿宋" w:cs="仿宋"/>
        </w:rPr>
        <w:t>6</w:t>
      </w:r>
      <w:r>
        <w:rPr>
          <w:rFonts w:ascii="仿宋" w:hAnsi="仿宋" w:eastAsia="仿宋" w:cs="仿宋"/>
        </w:rPr>
        <w:fldChar w:fldCharType="end"/>
      </w:r>
    </w:p>
    <w:p>
      <w:pPr>
        <w:pStyle w:val="5"/>
        <w:tabs>
          <w:tab w:val="right" w:leader="dot" w:pos="8300"/>
        </w:tabs>
        <w:spacing w:line="360" w:lineRule="auto"/>
        <w:ind w:leftChars="350"/>
        <w:rPr>
          <w:rFonts w:ascii="仿宋" w:hAnsi="仿宋" w:eastAsia="仿宋" w:cs="仿宋"/>
        </w:rPr>
      </w:pPr>
      <w:r>
        <w:fldChar w:fldCharType="begin"/>
      </w:r>
      <w:r>
        <w:instrText xml:space="preserve"> HYPERLINK \l "_Toc3277" </w:instrText>
      </w:r>
      <w:r>
        <w:fldChar w:fldCharType="separate"/>
      </w:r>
      <w:r>
        <w:rPr>
          <w:rFonts w:hint="eastAsia" w:ascii="仿宋" w:hAnsi="仿宋" w:eastAsia="仿宋" w:cs="仿宋"/>
          <w:bCs/>
        </w:rPr>
        <w:t>3.金沙江白鹤滩水电站首批机组正式投产发电</w:t>
      </w:r>
      <w:r>
        <w:rPr>
          <w:rFonts w:hint="eastAsia" w:ascii="仿宋" w:hAnsi="仿宋" w:eastAsia="仿宋" w:cs="仿宋"/>
        </w:rPr>
        <w:tab/>
      </w:r>
      <w:r>
        <w:rPr>
          <w:rFonts w:ascii="仿宋" w:hAnsi="仿宋" w:eastAsia="仿宋" w:cs="仿宋"/>
        </w:rPr>
        <w:t>18</w:t>
      </w:r>
      <w:r>
        <w:rPr>
          <w:rFonts w:ascii="仿宋" w:hAnsi="仿宋" w:eastAsia="仿宋" w:cs="仿宋"/>
        </w:rPr>
        <w:fldChar w:fldCharType="end"/>
      </w:r>
    </w:p>
    <w:p>
      <w:pPr>
        <w:pStyle w:val="9"/>
        <w:tabs>
          <w:tab w:val="right" w:leader="dot" w:pos="8300"/>
        </w:tabs>
        <w:spacing w:line="360" w:lineRule="auto"/>
        <w:ind w:left="360" w:leftChars="150"/>
        <w:rPr>
          <w:rFonts w:ascii="仿宋" w:hAnsi="仿宋" w:eastAsia="仿宋" w:cs="仿宋"/>
        </w:rPr>
      </w:pPr>
      <w:r>
        <w:fldChar w:fldCharType="begin"/>
      </w:r>
      <w:r>
        <w:instrText xml:space="preserve"> HYPERLINK \l "_Toc21574" </w:instrText>
      </w:r>
      <w:r>
        <w:fldChar w:fldCharType="separate"/>
      </w:r>
      <w:r>
        <w:rPr>
          <w:rFonts w:hint="eastAsia" w:ascii="仿宋" w:hAnsi="仿宋" w:eastAsia="仿宋" w:cs="仿宋"/>
          <w:b/>
          <w:bCs/>
        </w:rPr>
        <w:t>国外新闻</w:t>
      </w:r>
      <w:r>
        <w:rPr>
          <w:rFonts w:hint="eastAsia" w:ascii="仿宋" w:hAnsi="仿宋" w:eastAsia="仿宋" w:cs="仿宋"/>
        </w:rPr>
        <w:tab/>
      </w:r>
      <w:r>
        <w:rPr>
          <w:rFonts w:hint="eastAsia" w:ascii="仿宋" w:hAnsi="仿宋" w:eastAsia="仿宋" w:cs="仿宋"/>
        </w:rPr>
        <w:t>2</w:t>
      </w:r>
      <w:r>
        <w:rPr>
          <w:rFonts w:ascii="仿宋" w:hAnsi="仿宋" w:eastAsia="仿宋" w:cs="仿宋"/>
        </w:rPr>
        <w:t>0</w:t>
      </w:r>
      <w:r>
        <w:rPr>
          <w:rFonts w:ascii="仿宋" w:hAnsi="仿宋" w:eastAsia="仿宋" w:cs="仿宋"/>
        </w:rPr>
        <w:fldChar w:fldCharType="end"/>
      </w:r>
    </w:p>
    <w:p>
      <w:pPr>
        <w:pStyle w:val="5"/>
        <w:tabs>
          <w:tab w:val="right" w:leader="dot" w:pos="8300"/>
        </w:tabs>
        <w:spacing w:line="360" w:lineRule="auto"/>
        <w:ind w:leftChars="350"/>
        <w:rPr>
          <w:rFonts w:ascii="仿宋" w:hAnsi="仿宋" w:eastAsia="仿宋" w:cs="仿宋"/>
        </w:rPr>
      </w:pPr>
      <w:r>
        <w:fldChar w:fldCharType="begin"/>
      </w:r>
      <w:r>
        <w:instrText xml:space="preserve"> HYPERLINK \l "_Toc31058" </w:instrText>
      </w:r>
      <w:r>
        <w:fldChar w:fldCharType="separate"/>
      </w:r>
      <w:r>
        <w:rPr>
          <w:rFonts w:hint="eastAsia" w:ascii="仿宋" w:hAnsi="仿宋" w:eastAsia="仿宋" w:cs="仿宋"/>
          <w:bCs/>
        </w:rPr>
        <w:t>1.“德尔塔”肆虐全球85个国家和地区，中国应对已“取得阶段性成绩”</w:t>
      </w:r>
      <w:r>
        <w:rPr>
          <w:rFonts w:hint="eastAsia" w:ascii="仿宋" w:hAnsi="仿宋" w:eastAsia="仿宋"/>
        </w:rPr>
        <w:t xml:space="preserve"> </w:t>
      </w:r>
      <w:r>
        <w:rPr>
          <w:rFonts w:hint="eastAsia" w:ascii="仿宋" w:hAnsi="仿宋" w:eastAsia="仿宋" w:cs="仿宋"/>
        </w:rPr>
        <w:tab/>
      </w:r>
      <w:r>
        <w:rPr>
          <w:rFonts w:hint="eastAsia" w:ascii="仿宋" w:hAnsi="仿宋" w:eastAsia="仿宋" w:cs="仿宋"/>
        </w:rPr>
        <w:t>2</w:t>
      </w:r>
      <w:r>
        <w:rPr>
          <w:rFonts w:ascii="仿宋" w:hAnsi="仿宋" w:eastAsia="仿宋" w:cs="仿宋"/>
        </w:rPr>
        <w:t>0</w:t>
      </w:r>
      <w:r>
        <w:rPr>
          <w:rFonts w:ascii="仿宋" w:hAnsi="仿宋" w:eastAsia="仿宋" w:cs="仿宋"/>
        </w:rPr>
        <w:fldChar w:fldCharType="end"/>
      </w:r>
    </w:p>
    <w:p>
      <w:pPr>
        <w:pStyle w:val="5"/>
        <w:tabs>
          <w:tab w:val="right" w:leader="dot" w:pos="8300"/>
        </w:tabs>
        <w:spacing w:line="360" w:lineRule="auto"/>
        <w:ind w:leftChars="350"/>
        <w:rPr>
          <w:rFonts w:ascii="仿宋" w:hAnsi="仿宋" w:eastAsia="仿宋" w:cs="仿宋"/>
        </w:rPr>
      </w:pPr>
      <w:r>
        <w:fldChar w:fldCharType="begin"/>
      </w:r>
      <w:r>
        <w:instrText xml:space="preserve"> HYPERLINK \l "_Toc25975" </w:instrText>
      </w:r>
      <w:r>
        <w:fldChar w:fldCharType="separate"/>
      </w:r>
      <w:r>
        <w:rPr>
          <w:rFonts w:hint="eastAsia" w:ascii="仿宋" w:hAnsi="仿宋" w:eastAsia="仿宋" w:cs="仿宋"/>
          <w:bCs/>
          <w:spacing w:val="15"/>
        </w:rPr>
        <w:t>2.破43℃！美国向西部超2000万居民发布高温警告</w:t>
      </w:r>
      <w:r>
        <w:rPr>
          <w:rFonts w:hint="eastAsia" w:ascii="仿宋" w:hAnsi="仿宋" w:eastAsia="仿宋"/>
        </w:rPr>
        <w:t xml:space="preserve"> </w:t>
      </w:r>
      <w:r>
        <w:rPr>
          <w:rFonts w:hint="eastAsia" w:ascii="仿宋" w:hAnsi="仿宋" w:eastAsia="仿宋" w:cs="仿宋"/>
        </w:rPr>
        <w:tab/>
      </w:r>
      <w:r>
        <w:rPr>
          <w:rFonts w:hint="eastAsia" w:ascii="仿宋" w:hAnsi="仿宋" w:eastAsia="仿宋" w:cs="仿宋"/>
        </w:rPr>
        <w:t>2</w:t>
      </w:r>
      <w:r>
        <w:rPr>
          <w:rFonts w:ascii="仿宋" w:hAnsi="仿宋" w:eastAsia="仿宋" w:cs="仿宋"/>
        </w:rPr>
        <w:t>1</w:t>
      </w:r>
      <w:r>
        <w:rPr>
          <w:rFonts w:ascii="仿宋" w:hAnsi="仿宋" w:eastAsia="仿宋" w:cs="仿宋"/>
        </w:rPr>
        <w:fldChar w:fldCharType="end"/>
      </w:r>
    </w:p>
    <w:p>
      <w:pPr>
        <w:pStyle w:val="5"/>
        <w:tabs>
          <w:tab w:val="right" w:leader="dot" w:pos="8300"/>
        </w:tabs>
        <w:spacing w:line="360" w:lineRule="auto"/>
        <w:ind w:leftChars="350"/>
        <w:rPr>
          <w:rFonts w:ascii="仿宋" w:hAnsi="仿宋" w:eastAsia="仿宋" w:cs="仿宋"/>
        </w:rPr>
      </w:pPr>
      <w:r>
        <w:fldChar w:fldCharType="begin"/>
      </w:r>
      <w:r>
        <w:instrText xml:space="preserve"> HYPERLINK \l "_Toc26140" </w:instrText>
      </w:r>
      <w:r>
        <w:fldChar w:fldCharType="separate"/>
      </w:r>
      <w:r>
        <w:rPr>
          <w:rFonts w:hint="eastAsia" w:ascii="仿宋" w:hAnsi="仿宋" w:eastAsia="仿宋" w:cs="仿宋"/>
          <w:bCs/>
          <w:spacing w:val="15"/>
        </w:rPr>
        <w:t>3.</w:t>
      </w:r>
      <w:r>
        <w:rPr>
          <w:rFonts w:hint="eastAsia" w:ascii="仿宋" w:hAnsi="仿宋" w:eastAsia="仿宋"/>
        </w:rPr>
        <w:t xml:space="preserve"> 德法联合提“俄欧峰会”倡议被否，俄罗斯议题搅动“分裂的欧洲”</w:t>
      </w:r>
      <w:r>
        <w:rPr>
          <w:rFonts w:hint="eastAsia" w:ascii="仿宋" w:hAnsi="仿宋" w:eastAsia="仿宋" w:cs="仿宋"/>
        </w:rPr>
        <w:tab/>
      </w:r>
      <w:r>
        <w:rPr>
          <w:rFonts w:hint="eastAsia" w:ascii="仿宋" w:hAnsi="仿宋" w:eastAsia="仿宋" w:cs="仿宋"/>
        </w:rPr>
        <w:t>2</w:t>
      </w:r>
      <w:r>
        <w:rPr>
          <w:rFonts w:ascii="仿宋" w:hAnsi="仿宋" w:eastAsia="仿宋" w:cs="仿宋"/>
        </w:rPr>
        <w:t>2</w:t>
      </w:r>
      <w:r>
        <w:rPr>
          <w:rFonts w:ascii="仿宋" w:hAnsi="仿宋" w:eastAsia="仿宋" w:cs="仿宋"/>
        </w:rPr>
        <w:fldChar w:fldCharType="end"/>
      </w:r>
    </w:p>
    <w:p>
      <w:pPr>
        <w:pStyle w:val="8"/>
        <w:tabs>
          <w:tab w:val="right" w:leader="dot" w:pos="8300"/>
        </w:tabs>
        <w:spacing w:line="360" w:lineRule="auto"/>
        <w:ind w:left="-240" w:leftChars="-100" w:firstLine="240" w:firstLineChars="100"/>
        <w:rPr>
          <w:rFonts w:ascii="仿宋" w:hAnsi="仿宋" w:eastAsia="仿宋" w:cs="仿宋"/>
        </w:rPr>
      </w:pPr>
      <w:r>
        <w:fldChar w:fldCharType="begin"/>
      </w:r>
      <w:r>
        <w:instrText xml:space="preserve"> HYPERLINK \l "_Toc20510" </w:instrText>
      </w:r>
      <w:r>
        <w:fldChar w:fldCharType="separate"/>
      </w:r>
      <w:r>
        <w:rPr>
          <w:rFonts w:hint="eastAsia" w:ascii="仿宋" w:hAnsi="仿宋" w:eastAsia="仿宋" w:cs="仿宋"/>
          <w:b/>
        </w:rPr>
        <w:t>第三章</w:t>
      </w:r>
      <w:r>
        <w:rPr>
          <w:rFonts w:hint="eastAsia" w:ascii="仿宋" w:hAnsi="仿宋" w:eastAsia="仿宋" w:cs="仿宋"/>
          <w:b/>
          <w:lang w:val="en-US" w:eastAsia="zh-CN"/>
        </w:rPr>
        <w:t xml:space="preserve"> </w:t>
      </w:r>
      <w:r>
        <w:rPr>
          <w:rFonts w:hint="eastAsia" w:ascii="仿宋" w:hAnsi="仿宋" w:eastAsia="仿宋" w:cs="仿宋"/>
          <w:b/>
        </w:rPr>
        <w:t>重要讲话</w:t>
      </w:r>
      <w:r>
        <w:rPr>
          <w:rFonts w:hint="eastAsia" w:ascii="仿宋" w:hAnsi="仿宋" w:eastAsia="仿宋" w:cs="仿宋"/>
        </w:rPr>
        <w:tab/>
      </w:r>
      <w:r>
        <w:rPr>
          <w:rFonts w:hint="eastAsia" w:ascii="仿宋" w:hAnsi="仿宋" w:eastAsia="仿宋" w:cs="仿宋"/>
        </w:rPr>
        <w:fldChar w:fldCharType="end"/>
      </w:r>
    </w:p>
    <w:p>
      <w:pPr>
        <w:pStyle w:val="9"/>
        <w:tabs>
          <w:tab w:val="right" w:leader="dot" w:pos="8300"/>
        </w:tabs>
        <w:spacing w:line="360" w:lineRule="auto"/>
        <w:ind w:left="360" w:leftChars="150"/>
        <w:rPr>
          <w:rFonts w:ascii="仿宋" w:hAnsi="仿宋" w:eastAsia="仿宋" w:cs="仿宋"/>
        </w:rPr>
      </w:pPr>
      <w:r>
        <w:rPr>
          <w:rFonts w:hint="eastAsia" w:ascii="仿宋" w:hAnsi="仿宋" w:eastAsia="仿宋" w:cs="仿宋"/>
        </w:rPr>
        <w:t>★</w:t>
      </w:r>
      <w:r>
        <w:rPr>
          <w:rFonts w:ascii="仿宋" w:hAnsi="仿宋" w:eastAsia="仿宋"/>
        </w:rPr>
        <w:fldChar w:fldCharType="begin"/>
      </w:r>
      <w:r>
        <w:rPr>
          <w:rFonts w:ascii="仿宋" w:hAnsi="仿宋" w:eastAsia="仿宋"/>
        </w:rPr>
        <w:instrText xml:space="preserve"> HYPERLINK \l "_Toc23735" </w:instrText>
      </w:r>
      <w:r>
        <w:rPr>
          <w:rFonts w:ascii="仿宋" w:hAnsi="仿宋" w:eastAsia="仿宋"/>
        </w:rPr>
        <w:fldChar w:fldCharType="separate"/>
      </w:r>
      <w:r>
        <w:rPr>
          <w:rFonts w:hint="eastAsia" w:ascii="仿宋" w:hAnsi="仿宋" w:eastAsia="仿宋" w:cs="仿宋"/>
        </w:rPr>
        <w:t>习近平</w:t>
      </w:r>
      <w:r>
        <w:rPr>
          <w:rFonts w:hint="eastAsia" w:ascii="仿宋" w:hAnsi="仿宋" w:cs="仿宋"/>
          <w:lang w:eastAsia="zh-CN"/>
        </w:rPr>
        <w:t>：</w:t>
      </w:r>
      <w:r>
        <w:rPr>
          <w:rFonts w:hint="eastAsia" w:ascii="仿宋" w:hAnsi="仿宋" w:eastAsia="仿宋" w:cs="仿宋"/>
          <w:lang w:eastAsia="zh-CN"/>
        </w:rPr>
        <w:t>在“七一勋章”颁授仪式上的讲话</w:t>
      </w:r>
      <w:r>
        <w:rPr>
          <w:rFonts w:hint="eastAsia" w:ascii="仿宋" w:hAnsi="仿宋" w:eastAsia="仿宋" w:cs="仿宋"/>
        </w:rPr>
        <w:tab/>
      </w:r>
      <w:r>
        <w:rPr>
          <w:rFonts w:ascii="仿宋" w:hAnsi="仿宋" w:eastAsia="仿宋" w:cs="仿宋"/>
        </w:rPr>
        <w:fldChar w:fldCharType="end"/>
      </w:r>
      <w:r>
        <w:rPr>
          <w:rFonts w:hint="eastAsia" w:ascii="仿宋" w:hAnsi="仿宋" w:eastAsia="仿宋" w:cs="仿宋"/>
          <w:lang w:eastAsia="zh-CN"/>
        </w:rPr>
        <w:t>25</w:t>
      </w:r>
    </w:p>
    <w:p>
      <w:pPr>
        <w:pStyle w:val="9"/>
        <w:tabs>
          <w:tab w:val="right" w:leader="dot" w:pos="8300"/>
        </w:tabs>
        <w:spacing w:line="360" w:lineRule="auto"/>
        <w:ind w:left="360" w:leftChars="150"/>
        <w:rPr>
          <w:rFonts w:ascii="仿宋" w:hAnsi="仿宋" w:eastAsia="仿宋" w:cs="仿宋"/>
        </w:rPr>
      </w:pPr>
      <w:r>
        <w:rPr>
          <w:rFonts w:hint="eastAsia" w:ascii="仿宋" w:hAnsi="仿宋" w:eastAsia="仿宋" w:cs="仿宋"/>
        </w:rPr>
        <w:t>★</w:t>
      </w:r>
      <w:r>
        <w:fldChar w:fldCharType="begin"/>
      </w:r>
      <w:r>
        <w:instrText xml:space="preserve"> HYPERLINK \l "_Toc27586" </w:instrText>
      </w:r>
      <w:r>
        <w:fldChar w:fldCharType="separate"/>
      </w:r>
      <w:r>
        <w:rPr>
          <w:rFonts w:hint="eastAsia" w:ascii="仿宋" w:hAnsi="仿宋" w:eastAsia="仿宋" w:cs="仿宋"/>
        </w:rPr>
        <w:t>习近平</w:t>
      </w:r>
      <w:r>
        <w:rPr>
          <w:rFonts w:hint="eastAsia" w:ascii="仿宋" w:hAnsi="仿宋" w:eastAsia="仿宋" w:cs="仿宋"/>
          <w:lang w:eastAsia="zh-CN"/>
        </w:rPr>
        <w:t>给北京大学的留学生们的回信</w:t>
      </w:r>
      <w:r>
        <w:rPr>
          <w:rFonts w:hint="eastAsia" w:ascii="仿宋" w:hAnsi="仿宋" w:eastAsia="仿宋" w:cs="仿宋"/>
        </w:rPr>
        <w:tab/>
      </w:r>
      <w:r>
        <w:rPr>
          <w:rFonts w:hint="eastAsia" w:ascii="仿宋" w:hAnsi="仿宋" w:eastAsia="仿宋" w:cs="仿宋"/>
        </w:rPr>
        <w:t>2</w:t>
      </w:r>
      <w:r>
        <w:rPr>
          <w:rFonts w:ascii="仿宋" w:hAnsi="仿宋" w:eastAsia="仿宋" w:cs="仿宋"/>
        </w:rPr>
        <w:t>6</w:t>
      </w:r>
      <w:r>
        <w:rPr>
          <w:rFonts w:ascii="仿宋" w:hAnsi="仿宋" w:eastAsia="仿宋" w:cs="仿宋"/>
        </w:rPr>
        <w:fldChar w:fldCharType="end"/>
      </w:r>
    </w:p>
    <w:p>
      <w:pPr>
        <w:pStyle w:val="8"/>
        <w:tabs>
          <w:tab w:val="right" w:leader="dot" w:pos="8300"/>
        </w:tabs>
        <w:spacing w:line="360" w:lineRule="auto"/>
        <w:ind w:left="-240" w:leftChars="-100" w:firstLine="240" w:firstLineChars="100"/>
        <w:rPr>
          <w:rFonts w:ascii="仿宋" w:hAnsi="仿宋" w:eastAsia="仿宋" w:cs="仿宋"/>
        </w:rPr>
      </w:pPr>
      <w:r>
        <w:fldChar w:fldCharType="begin"/>
      </w:r>
      <w:r>
        <w:instrText xml:space="preserve"> HYPERLINK \l "_Toc8713" </w:instrText>
      </w:r>
      <w:r>
        <w:fldChar w:fldCharType="separate"/>
      </w:r>
      <w:r>
        <w:rPr>
          <w:rFonts w:hint="eastAsia" w:ascii="仿宋" w:hAnsi="仿宋" w:eastAsia="仿宋" w:cs="仿宋"/>
          <w:b/>
        </w:rPr>
        <w:t>第四章</w:t>
      </w:r>
      <w:r>
        <w:rPr>
          <w:rFonts w:hint="eastAsia" w:ascii="仿宋" w:hAnsi="仿宋" w:eastAsia="仿宋" w:cs="仿宋"/>
          <w:b/>
          <w:lang w:val="en-US" w:eastAsia="zh-CN"/>
        </w:rPr>
        <w:t xml:space="preserve"> </w:t>
      </w:r>
      <w:r>
        <w:rPr>
          <w:rFonts w:hint="eastAsia" w:ascii="仿宋" w:hAnsi="仿宋" w:eastAsia="仿宋" w:cs="仿宋"/>
          <w:b/>
        </w:rPr>
        <w:t>重要文件</w:t>
      </w:r>
      <w:r>
        <w:rPr>
          <w:rFonts w:hint="eastAsia" w:ascii="仿宋" w:hAnsi="仿宋" w:eastAsia="仿宋" w:cs="仿宋"/>
        </w:rPr>
        <w:tab/>
      </w:r>
      <w:r>
        <w:rPr>
          <w:rFonts w:ascii="仿宋" w:hAnsi="仿宋" w:eastAsia="仿宋" w:cs="仿宋"/>
        </w:rPr>
        <w:t>31</w:t>
      </w:r>
      <w:r>
        <w:rPr>
          <w:rFonts w:ascii="仿宋" w:hAnsi="仿宋" w:eastAsia="仿宋" w:cs="仿宋"/>
        </w:rPr>
        <w:fldChar w:fldCharType="end"/>
      </w:r>
    </w:p>
    <w:p>
      <w:pPr>
        <w:pStyle w:val="9"/>
        <w:tabs>
          <w:tab w:val="right" w:leader="dot" w:pos="8300"/>
        </w:tabs>
        <w:spacing w:line="360" w:lineRule="auto"/>
        <w:ind w:left="360" w:leftChars="150"/>
        <w:rPr>
          <w:rFonts w:ascii="仿宋" w:hAnsi="仿宋" w:eastAsia="仿宋" w:cs="仿宋"/>
        </w:rPr>
      </w:pPr>
      <w:r>
        <w:rPr>
          <w:rFonts w:hint="eastAsia" w:ascii="仿宋" w:hAnsi="仿宋" w:eastAsia="仿宋" w:cs="仿宋"/>
          <w:b w:val="0"/>
          <w:bCs w:val="0"/>
        </w:rPr>
        <w:t>中共中央办公厅 国务院办公厅印发《关于深化国有文艺院团改革的意见》</w:t>
      </w:r>
      <w:r>
        <w:fldChar w:fldCharType="begin"/>
      </w:r>
      <w:r>
        <w:instrText xml:space="preserve"> HYPERLINK \l "_Toc3882" </w:instrText>
      </w:r>
      <w:r>
        <w:fldChar w:fldCharType="separate"/>
      </w:r>
      <w:r>
        <w:rPr>
          <w:rFonts w:hint="eastAsia" w:ascii="仿宋" w:hAnsi="仿宋" w:eastAsia="仿宋" w:cs="仿宋"/>
        </w:rPr>
        <w:tab/>
      </w:r>
      <w:r>
        <w:rPr>
          <w:rFonts w:ascii="仿宋" w:hAnsi="仿宋" w:eastAsia="仿宋" w:cs="仿宋"/>
        </w:rPr>
        <w:t>34</w:t>
      </w:r>
      <w:r>
        <w:rPr>
          <w:rFonts w:ascii="仿宋" w:hAnsi="仿宋" w:eastAsia="仿宋" w:cs="仿宋"/>
        </w:rPr>
        <w:fldChar w:fldCharType="end"/>
      </w:r>
    </w:p>
    <w:p>
      <w:pPr>
        <w:pStyle w:val="9"/>
        <w:tabs>
          <w:tab w:val="right" w:leader="dot" w:pos="8300"/>
        </w:tabs>
        <w:spacing w:line="360" w:lineRule="auto"/>
        <w:ind w:left="360" w:leftChars="150"/>
        <w:rPr>
          <w:rFonts w:ascii="仿宋" w:hAnsi="仿宋" w:eastAsia="仿宋" w:cs="仿宋"/>
        </w:rPr>
      </w:pPr>
      <w:r>
        <w:rPr>
          <w:rFonts w:hint="eastAsia" w:ascii="仿宋" w:hAnsi="仿宋" w:eastAsia="仿宋" w:cs="仿宋"/>
        </w:rPr>
        <w:t>中共中央国务院关于支持浙江高质量发展建设共同富裕示范区的意见</w:t>
      </w:r>
      <w:r>
        <w:fldChar w:fldCharType="begin"/>
      </w:r>
      <w:r>
        <w:instrText xml:space="preserve"> HYPERLINK \l "_Toc10583" </w:instrText>
      </w:r>
      <w:r>
        <w:fldChar w:fldCharType="separate"/>
      </w:r>
      <w:r>
        <w:rPr>
          <w:rFonts w:hint="eastAsia" w:ascii="仿宋" w:hAnsi="仿宋" w:eastAsia="仿宋" w:cs="仿宋"/>
        </w:rPr>
        <w:tab/>
      </w:r>
      <w:r>
        <w:rPr>
          <w:rFonts w:ascii="仿宋" w:hAnsi="仿宋" w:eastAsia="仿宋" w:cs="仿宋"/>
        </w:rPr>
        <w:t>35</w:t>
      </w:r>
      <w:r>
        <w:rPr>
          <w:rFonts w:ascii="仿宋" w:hAnsi="仿宋" w:eastAsia="仿宋" w:cs="仿宋"/>
        </w:rPr>
        <w:fldChar w:fldCharType="end"/>
      </w:r>
    </w:p>
    <w:p>
      <w:pPr>
        <w:pStyle w:val="8"/>
        <w:tabs>
          <w:tab w:val="right" w:leader="dot" w:pos="8300"/>
        </w:tabs>
        <w:spacing w:line="360" w:lineRule="auto"/>
        <w:ind w:left="-240" w:leftChars="-100" w:firstLine="240" w:firstLineChars="100"/>
        <w:rPr>
          <w:rFonts w:ascii="仿宋" w:hAnsi="仿宋" w:eastAsia="仿宋" w:cs="仿宋"/>
        </w:rPr>
      </w:pPr>
      <w:r>
        <w:fldChar w:fldCharType="begin"/>
      </w:r>
      <w:r>
        <w:instrText xml:space="preserve"> HYPERLINK \l "_Toc16852" </w:instrText>
      </w:r>
      <w:r>
        <w:fldChar w:fldCharType="separate"/>
      </w:r>
      <w:r>
        <w:rPr>
          <w:rFonts w:hint="eastAsia" w:ascii="仿宋" w:hAnsi="仿宋" w:eastAsia="仿宋" w:cs="仿宋"/>
          <w:b/>
        </w:rPr>
        <w:t>第五章</w:t>
      </w:r>
      <w:r>
        <w:rPr>
          <w:rFonts w:hint="eastAsia" w:ascii="仿宋" w:hAnsi="仿宋" w:eastAsia="仿宋" w:cs="仿宋"/>
          <w:b/>
          <w:lang w:val="en-US" w:eastAsia="zh-CN"/>
        </w:rPr>
        <w:t xml:space="preserve"> </w:t>
      </w:r>
      <w:r>
        <w:rPr>
          <w:rFonts w:hint="eastAsia" w:ascii="仿宋" w:hAnsi="仿宋" w:eastAsia="仿宋" w:cs="仿宋"/>
          <w:b/>
        </w:rPr>
        <w:t>每月推荐</w:t>
      </w:r>
      <w:r>
        <w:rPr>
          <w:rFonts w:hint="eastAsia" w:ascii="仿宋" w:hAnsi="仿宋" w:eastAsia="仿宋" w:cs="仿宋"/>
        </w:rPr>
        <w:tab/>
      </w:r>
      <w:r>
        <w:rPr>
          <w:rFonts w:hint="eastAsia" w:ascii="仿宋" w:hAnsi="仿宋" w:eastAsia="仿宋" w:cs="仿宋"/>
        </w:rPr>
        <w:fldChar w:fldCharType="end"/>
      </w:r>
      <w:r>
        <w:rPr>
          <w:rFonts w:ascii="仿宋" w:hAnsi="仿宋" w:eastAsia="仿宋" w:cs="仿宋"/>
        </w:rPr>
        <w:t>37</w:t>
      </w:r>
    </w:p>
    <w:p>
      <w:pPr>
        <w:pStyle w:val="9"/>
        <w:tabs>
          <w:tab w:val="right" w:leader="dot" w:pos="8300"/>
        </w:tabs>
        <w:spacing w:line="360" w:lineRule="auto"/>
        <w:ind w:left="360" w:leftChars="150"/>
        <w:rPr>
          <w:rFonts w:ascii="仿宋" w:hAnsi="仿宋" w:eastAsia="仿宋" w:cs="仿宋"/>
        </w:rPr>
      </w:pPr>
      <w:r>
        <w:fldChar w:fldCharType="begin"/>
      </w:r>
      <w:r>
        <w:instrText xml:space="preserve"> HYPERLINK \l "_Toc24645" </w:instrText>
      </w:r>
      <w:r>
        <w:fldChar w:fldCharType="separate"/>
      </w:r>
      <w:r>
        <w:rPr>
          <w:rFonts w:hint="eastAsia" w:ascii="仿宋" w:hAnsi="仿宋" w:eastAsia="仿宋" w:cs="仿宋"/>
          <w:bCs/>
        </w:rPr>
        <w:t>《</w:t>
      </w:r>
      <w:r>
        <w:rPr>
          <w:rFonts w:hint="eastAsia" w:ascii="仿宋" w:hAnsi="仿宋" w:eastAsia="仿宋" w:cs="仿宋"/>
          <w:bCs/>
          <w:lang w:val="en-US" w:eastAsia="zh-CN"/>
        </w:rPr>
        <w:t>麦田里的守望者</w:t>
      </w:r>
      <w:r>
        <w:rPr>
          <w:rFonts w:hint="eastAsia" w:ascii="仿宋" w:hAnsi="仿宋" w:eastAsia="仿宋" w:cs="仿宋"/>
          <w:bCs/>
        </w:rPr>
        <w:t>》</w:t>
      </w:r>
      <w:r>
        <w:rPr>
          <w:rFonts w:hint="eastAsia" w:ascii="仿宋" w:hAnsi="仿宋" w:eastAsia="仿宋" w:cs="仿宋"/>
        </w:rPr>
        <w:tab/>
      </w:r>
      <w:r>
        <w:rPr>
          <w:rFonts w:ascii="仿宋" w:hAnsi="仿宋" w:eastAsia="仿宋" w:cs="仿宋"/>
        </w:rPr>
        <w:t>37</w:t>
      </w:r>
      <w:r>
        <w:rPr>
          <w:rFonts w:ascii="仿宋" w:hAnsi="仿宋" w:eastAsia="仿宋" w:cs="仿宋"/>
        </w:rPr>
        <w:fldChar w:fldCharType="end"/>
      </w:r>
    </w:p>
    <w:p>
      <w:pPr>
        <w:pStyle w:val="9"/>
        <w:tabs>
          <w:tab w:val="right" w:leader="dot" w:pos="8300"/>
        </w:tabs>
        <w:spacing w:line="360" w:lineRule="auto"/>
        <w:ind w:left="360" w:leftChars="150"/>
        <w:rPr>
          <w:rFonts w:ascii="仿宋" w:hAnsi="仿宋" w:eastAsia="仿宋" w:cs="仿宋"/>
        </w:rPr>
      </w:pPr>
      <w:r>
        <w:fldChar w:fldCharType="begin"/>
      </w:r>
      <w:r>
        <w:instrText xml:space="preserve"> HYPERLINK \l "_Toc13926" </w:instrText>
      </w:r>
      <w:r>
        <w:fldChar w:fldCharType="separate"/>
      </w:r>
      <w:r>
        <w:rPr>
          <w:rFonts w:hint="eastAsia" w:ascii="仿宋" w:hAnsi="仿宋" w:eastAsia="仿宋" w:cs="仿宋"/>
          <w:bCs/>
          <w:kern w:val="0"/>
        </w:rPr>
        <w:t>《</w:t>
      </w:r>
      <w:r>
        <w:rPr>
          <w:rFonts w:hint="eastAsia" w:ascii="仿宋" w:hAnsi="仿宋" w:eastAsia="仿宋" w:cs="仿宋"/>
          <w:bCs/>
          <w:kern w:val="0"/>
          <w:lang w:val="en-US" w:eastAsia="zh-CN"/>
        </w:rPr>
        <w:t>喧哗与骚动</w:t>
      </w:r>
      <w:r>
        <w:rPr>
          <w:rFonts w:hint="eastAsia" w:ascii="仿宋" w:hAnsi="仿宋" w:eastAsia="仿宋" w:cs="仿宋"/>
          <w:bCs/>
          <w:kern w:val="0"/>
        </w:rPr>
        <w:t>》</w:t>
      </w:r>
      <w:r>
        <w:rPr>
          <w:rFonts w:hint="eastAsia" w:ascii="仿宋" w:hAnsi="仿宋" w:eastAsia="仿宋" w:cs="仿宋"/>
        </w:rPr>
        <w:tab/>
      </w:r>
      <w:r>
        <w:rPr>
          <w:rFonts w:hint="eastAsia" w:ascii="仿宋" w:hAnsi="仿宋" w:eastAsia="仿宋" w:cs="仿宋"/>
        </w:rPr>
        <w:t>3</w:t>
      </w:r>
      <w:r>
        <w:rPr>
          <w:rFonts w:hint="eastAsia" w:ascii="仿宋" w:hAnsi="仿宋" w:eastAsia="仿宋" w:cs="仿宋"/>
        </w:rPr>
        <w:fldChar w:fldCharType="end"/>
      </w:r>
      <w:r>
        <w:rPr>
          <w:rFonts w:ascii="仿宋" w:hAnsi="仿宋" w:eastAsia="仿宋" w:cs="仿宋"/>
        </w:rPr>
        <w:t>8</w:t>
      </w:r>
    </w:p>
    <w:p>
      <w:pPr>
        <w:rPr>
          <w:rFonts w:ascii="仿宋" w:hAnsi="仿宋" w:eastAsia="仿宋"/>
        </w:rPr>
      </w:pPr>
      <w:r>
        <w:rPr>
          <w:rFonts w:hint="eastAsia" w:ascii="仿宋" w:hAnsi="仿宋" w:eastAsia="仿宋"/>
        </w:rPr>
        <w:fldChar w:fldCharType="end"/>
      </w:r>
    </w:p>
    <w:p>
      <w:pPr>
        <w:widowControl/>
        <w:jc w:val="left"/>
        <w:rPr>
          <w:rFonts w:ascii="仿宋" w:hAnsi="仿宋" w:eastAsia="仿宋"/>
        </w:rPr>
      </w:pPr>
      <w:r>
        <w:rPr>
          <w:rFonts w:ascii="仿宋" w:hAnsi="仿宋" w:eastAsia="仿宋"/>
        </w:rPr>
        <w:br w:type="page"/>
      </w:r>
    </w:p>
    <w:p>
      <w:pPr>
        <w:rPr>
          <w:rFonts w:ascii="仿宋" w:hAnsi="仿宋" w:eastAsia="仿宋"/>
        </w:rPr>
      </w:pPr>
    </w:p>
    <w:p>
      <w:pPr>
        <w:pStyle w:val="18"/>
        <w:widowControl w:val="0"/>
        <w:tabs>
          <w:tab w:val="right" w:leader="dot" w:pos="9632"/>
        </w:tabs>
        <w:spacing w:line="360" w:lineRule="auto"/>
        <w:jc w:val="center"/>
        <w:outlineLvl w:val="0"/>
        <w:rPr>
          <w:rFonts w:ascii="仿宋" w:hAnsi="仿宋" w:eastAsia="仿宋"/>
          <w:b/>
          <w:bCs/>
          <w:sz w:val="36"/>
          <w:szCs w:val="36"/>
        </w:rPr>
      </w:pPr>
      <w:bookmarkStart w:id="9" w:name="_Toc28044"/>
      <w:r>
        <w:rPr>
          <w:rFonts w:hint="eastAsia" w:ascii="仿宋" w:hAnsi="仿宋" w:eastAsia="仿宋"/>
          <w:b/>
          <w:bCs/>
          <w:sz w:val="36"/>
          <w:szCs w:val="36"/>
        </w:rPr>
        <w:t>第一章共青团常识</w:t>
      </w:r>
      <w:bookmarkEnd w:id="0"/>
      <w:bookmarkEnd w:id="1"/>
      <w:bookmarkEnd w:id="2"/>
      <w:bookmarkEnd w:id="3"/>
      <w:bookmarkEnd w:id="4"/>
      <w:bookmarkEnd w:id="5"/>
      <w:bookmarkEnd w:id="6"/>
      <w:bookmarkEnd w:id="7"/>
      <w:bookmarkEnd w:id="8"/>
      <w:bookmarkEnd w:id="9"/>
      <w:bookmarkStart w:id="10" w:name="_Toc4934_WPSOffice_Level2"/>
      <w:bookmarkStart w:id="11" w:name="_Toc19030"/>
    </w:p>
    <w:p>
      <w:pPr>
        <w:jc w:val="center"/>
        <w:rPr>
          <w:rFonts w:hint="eastAsia" w:ascii="仿宋" w:hAnsi="仿宋" w:eastAsia="仿宋" w:cs="仿宋"/>
          <w:b/>
          <w:bCs/>
          <w:strike w:val="0"/>
          <w:sz w:val="32"/>
          <w:szCs w:val="32"/>
          <w:u w:val="none"/>
        </w:rPr>
      </w:pPr>
      <w:bookmarkStart w:id="12" w:name="_Toc803"/>
      <w:bookmarkStart w:id="13" w:name="_Toc22172"/>
      <w:bookmarkStart w:id="14" w:name="_Toc28629"/>
      <w:bookmarkStart w:id="15" w:name="_Toc31627"/>
      <w:bookmarkStart w:id="16" w:name="_Toc14262"/>
      <w:bookmarkStart w:id="17" w:name="_Toc24051"/>
      <w:bookmarkStart w:id="18" w:name="_Toc24129"/>
      <w:bookmarkStart w:id="19" w:name="_Toc17894"/>
      <w:bookmarkStart w:id="20" w:name="_Toc19117"/>
      <w:r>
        <w:rPr>
          <w:rFonts w:hint="eastAsia" w:ascii="仿宋" w:hAnsi="仿宋" w:eastAsia="仿宋" w:cs="仿宋"/>
          <w:b/>
          <w:bCs/>
          <w:sz w:val="32"/>
          <w:szCs w:val="32"/>
        </w:rPr>
        <w:t>团史</w:t>
      </w:r>
      <w:bookmarkEnd w:id="10"/>
      <w:bookmarkEnd w:id="11"/>
      <w:bookmarkEnd w:id="12"/>
      <w:bookmarkEnd w:id="13"/>
      <w:bookmarkEnd w:id="14"/>
      <w:bookmarkEnd w:id="15"/>
      <w:bookmarkEnd w:id="16"/>
      <w:bookmarkEnd w:id="17"/>
      <w:bookmarkEnd w:id="18"/>
      <w:bookmarkEnd w:id="19"/>
      <w:bookmarkEnd w:id="20"/>
    </w:p>
    <w:p>
      <w:pPr>
        <w:jc w:val="center"/>
        <w:rPr>
          <w:rFonts w:hint="eastAsia" w:ascii="仿宋" w:hAnsi="仿宋" w:eastAsia="仿宋" w:cs="仿宋"/>
          <w:b/>
          <w:bCs/>
          <w:i w:val="0"/>
          <w:iCs w:val="0"/>
          <w:strike w:val="0"/>
          <w:u w:val="none"/>
        </w:rPr>
      </w:pPr>
      <w:r>
        <w:rPr>
          <w:rFonts w:hint="eastAsia" w:ascii="仿宋" w:hAnsi="仿宋" w:eastAsia="仿宋" w:cs="仿宋"/>
          <w:b/>
          <w:bCs/>
          <w:i w:val="0"/>
          <w:iCs w:val="0"/>
          <w:strike w:val="0"/>
          <w:u w:val="none"/>
        </w:rPr>
        <w:t>二、在党领导的从新民主主义转变为社会主义和社会主义建设阶段</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仿宋" w:hAnsi="仿宋" w:eastAsia="仿宋" w:cs="仿宋"/>
          <w:sz w:val="21"/>
          <w:szCs w:val="21"/>
        </w:rPr>
      </w:pPr>
      <w:r>
        <w:rPr>
          <w:rFonts w:hint="eastAsia" w:ascii="仿宋" w:hAnsi="仿宋" w:eastAsia="仿宋" w:cs="仿宋"/>
          <w:strike w:val="0"/>
          <w:color w:val="000000"/>
          <w:sz w:val="21"/>
          <w:szCs w:val="21"/>
          <w:u w:val="none"/>
        </w:rPr>
        <w:t>新中国的成立，在帝国主义的东方战线打开了一个巨大的缺口，因此他们必然进行反扑。1950年美帝国主义利用中国邻邦朝鲜内战爆发之机，悍然纠集仆从国发动了侵略</w:t>
      </w:r>
      <w:r>
        <w:rPr>
          <w:rFonts w:hint="eastAsia" w:ascii="仿宋" w:hAnsi="仿宋" w:eastAsia="仿宋" w:cs="仿宋"/>
          <w:color w:val="000000"/>
          <w:sz w:val="21"/>
          <w:szCs w:val="21"/>
          <w:u w:val="none"/>
        </w:rPr>
        <w:t xml:space="preserve">朝鲜的战争，并且把战火烧向中国，妄图把新中国扼杀在摇篮中。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中国人民深明大义，坚决响应中共中央的号召，高举“抗美援朝，保家卫国”的战旗，向美帝国主义及其仆从发起了反侵略的正义之战，轰轰烈烈的抗美援朝运动迅速在全国展开。青年团响应党的号召，在广大青年中进行了广泛深入的爱国主义和国际主义教育，以提高青年的民族自尊心和自信心，动员广大青年做抗美援朝的生力军。</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深入、扎实的思想教育工作收到良好的效果。</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在朝鲜战场上，志愿军中的青年指战员英勇顽强地战斗在最前线，用骄人的战绩和高尚的情操谱写了辉煌壮丽的青春之歌。黄继光、邱少云、罗盛教是他们光荣的代表。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在国内，广大青年踊跃参军，随时准备走向战场 。1950年12月和1951年6月团中央两次动员青年学生</w:t>
      </w:r>
      <w:bookmarkStart w:id="30" w:name="_GoBack"/>
      <w:bookmarkEnd w:id="30"/>
      <w:r>
        <w:rPr>
          <w:rFonts w:hint="eastAsia" w:ascii="仿宋" w:hAnsi="仿宋" w:eastAsia="仿宋" w:cs="仿宋"/>
          <w:color w:val="000000"/>
          <w:sz w:val="21"/>
          <w:szCs w:val="21"/>
          <w:u w:val="none"/>
        </w:rPr>
        <w:t xml:space="preserve">参加军事学校，青年们都非常踊跃。北京清华大学学生在9个小时内，就有超过需要人数9倍的青年报名。广大青年踊跃支持前线，确保战场的后勤需要。在抗美援朝战争的第一年里有3440名团员和2671名青年参加了志愿运输队。广大青年还自觉结合本职日常工作为抗美援朝做贡献，积极参加为志愿军捐献飞机大炮活动，“中国青年号”、“中国学生号”、“中国少年儿童号”飞机就凝聚了广大青少年纯真的爱国情感。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抗美援朝战争是以中朝人民的胜利宣告结束的。1953年7月27日美军代表被迫在停战协定上签了自己的名字。此时担任“联合国军”总司令的美国军官后来在他的回忆录中沮丧地写道：“我获得了一个不值得羡慕的名声：我是美国历史上第一个在没有取得胜利的停战协定上签字的司令官。”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一个新生政权的巩固总要有一个过程，中国人民在开展抗美援朝的同时，还面临着十分繁重的社会改革工作。党十分重视青年团在社会改革中的作用，在1950年4月16日中共中央发出的一份文件中明确指出：“为了使工会、农会、青年团成为新区社会改革可以依靠的组织，各级党委必须十分注意加强这些团体的工作，特别是青年团应该成为党的最亲密的、最可靠的助手，应该加强它的工作。”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各级青年团组织没有辜负党的期望，在党领导开展的土地改革、镇压反革命、“三反、”“五反”等一系列社会改革运动中，充分发挥了先锋带头作用，有力地配合党、政领导推进运动胜利开展。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党的好女儿、青年团员丁佑君，自愿离开城市，到边远农村参加社会改革工作。1950年9月19日，她在开展征粮工作时，被暴乱的国民党残匪逮捕。面对卑鄙、凶残的匪徒，丁佑君不怕酷刑，不惧羞辱，坚贞不屈，为了新中国的巩固和广大农民的翻身解放献出了年仅19岁的生命。她是这个时期优秀青年团员的突出代表。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在新中国成立后，恢复被国民党破坏了的国民经济，实现国家财政经济状况的基本好转，是全党和全国人民的中心工作。为尽快恢复和发展生产，不断提高劳动生产率，广大团员和青年在团组织的带领下，忘我地工作在自己的岗位上，做出了十分突出的贡献。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青岛第六棉纺厂工人，年仅17岁的女青年团员郝建秀，刻苦钻研生产技术，在工作中创造了一套细纱工作法。运用这个技术，不仅可以使产品质量大幅度提高，而且可以使工人看车能力由300锭提高到550到600锭。这个工作法如果推广，每年可为国家多生产4.4万余件棉纱，相当于400万人一年用布的原料纱。郝建秀的事迹受到党和政府重视，毛泽东主席曾经专门嘱咐中央办公厅写信鼓励她。1951年10月团中央授予她“模范青年团员”称号。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治理淮河是新中国成立后兴办的第一项大型水利工程。在参加治淮工程的300万民工中，有40%是青年。其中青年团员占多数，其团员数是沿淮地区团员总数的40%。团员和青年是治淮工程中的有生力量和突击队。女青年团员金秀兰、甘彩华、谭文翠被评为特等治淮模范。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经过三年的努力，新生的共和国显示出勃勃生机，人民共和国开始走上有计划的经济建设时期。为了适应新的工作任务要求，中国新民主主义青年团于1953年6月23日至7月2日在北京召开了第二次全国代表大会。到这时全国团员数量已经达到900万人。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大会开幕时，刘少奇代表中共中央致祝词，深刻阐述了进入有计划经济建设时期全国人民面临的历史任务，要求青年团努力学习马克思主义，巩固自己的组织，发扬爱国主义和国际主义精神，发挥党的助手后备军作用，带领青年站在为国家工业化而斗争的前列。毛泽东主席在会议进行期间，于6月30日接见了大会主席团，即席就青年团工作发表重要谈话，着重强调“青年团的工作要照顾青年的特点”，提出“身体好、学习好、工作好”应作为青年团的工作方向，要求党和团的领导机关要学会领导团的工作，要善于围绕党的中心任务，照顾青年的特点，组织和教育青年群众。毛泽东的这个谈话在大会传达之后，代表们深受教育和鼓舞。朱德出席了大会的闭幕式，勉励青年团要在毛泽东光辉旗帜指引下奋勇前进。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大会讨论并且通过了胡耀邦作的题为《团结全国青年在建设伟大祖国的行列中奋勇前进》的工作报告。报告要求团员和青年成为热爱祖国、忠于人民、有知识、守纪律、勤劳勇敢、朝气蓬勃、不怕困难的年轻一代，为逐步实现工业化和逐步过渡到社会主义社会而奋斗。这次会议根据形势和任务的要求，修改了《团章》，会议最后选出新一届中央委员会。在青年团二届一中全会上，胡耀邦等9人当选为团中央书记处书记。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青年团二大闭幕不久，在1953年10月中共中央发出了《关于加强党对青年团的领导给各级党委的指示》。这份文件根据毛泽东《青年团的工作要照顾青年的特点》的谈话精神，要求各级党委加强对青年团工作的领导，明确阐述了团的独立活动的涵义，科学处理了共产党、青年团、青年三者之间的关系，从而丰富了马克思主义关于青年运动和青年团建设的理论，为活跃青年团工作提供了重要保证。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青年团二大闭幕以后，各级团组织按照中共中央和毛泽东指示的“按照青年特点，开展独立活动”的工作方针，团结全国各族青年，积极参加社会政治生活、经济生活和文化生活，采取青年喜爱的方式和方法，开展独立活动，使青年团工作进入了一个十分活跃的时期。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青年团组织带领团员青年积极参加学习、宣传和贯彻过渡时期总路线的活动，协助党完成对农业、手工业和私人资本主义工商业的社会主义改造工作；同时向各族青年提出“把青春献给祖国”的口号，引导青年从祖国工业化大局出发，从人民的根本利益出发投身工业建设。莽莽荒原立井架，翻山跨河寻矿苗，一代青年在新中国最初的建设史上留下无数可歌可泣的光荣业绩。“走在时间前面”的王崇伦，“党的好女儿”向秀丽等是这一代青年的突出代表。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向荒原进军”，“向困难进军”，青年团组织的青年志愿垦荒队奔黑龙江、走鄱阳、登海岛。在“北大荒”诞生了“北京庄”、“天津庄”……，在鄱阳湖畔建起了“共青城”，把一片废墟的大陈岛变成祖国东海上的一颗明珠……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植树造林，绿化祖国。青年团响应毛泽东主席1955年发出的12年内绿化祖国的号召，组织起数以万计的造林突击队，绿化了大片荒山、荒沟，用青春的汗水让祖国大地披上绿装。</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1954年1月在北京苏联展览馆工地上诞生的青年突击队，经过青年团的倡导，迅速出现在各地各种急、难、险、重的工作任务面前。北京市第三建筑工程公司张百发青年突击队在当时名闻全国。青年突击队活动自兴起后，历时近半个世纪，常盛不衰。在90年代经江泽民总书记亲笔为青年突击队题写队名后，更是大放异彩。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为了促进新中国的建设事业得到持续发展，青年团还积极协助党和政府发展文化建设事业。青年团动员青年知识分子向科学进军，组织青年团员建立青年扫盲队普及文化教育，带领团员青年开展健康向上、丰富多采的业余文化生活。广大团员青年在团组织的带领下，以饱满的热情，青春的活力，为新中国文化事业的发展注入了清新的气息。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为了更好地发挥青年在国家建设中的积极性和创造性，焕发青年建设祖国的热情，表彰优秀青年，传播先进经验，青年团在1955年9月20日至28日召开了全国青年社会主义建设积极分子大会。这次大会得到了党和国家领导人的重视和关怀，邓小平代表党中央在会上发表了饱含殷切期望的讲话，毛泽东、刘少奇、周恩来、朱德、宋庆龄等党和国家领导人出席了会议闭幕式，并且与全体青年积极分子合影。这次会议在全国各族各界青年中引起极大的震动和反响。中共中央对召开这个大会给予了充分的肯定。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1957年，在全国已经基本完成社会主义改造和中共八大胜利召开的新形势下，青年团为了召唤全国各族青年团结起来，为建设社会主义新中国而奋斗，于5月5日至25日在北京召开了中国新民主主义青年团第三次全国代表大会。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毛泽东、刘少奇、周恩来、朱德、陈云、邓小平等党和国家领导人出席了大会并接见了全体代表。中共中央总书记邓小平代表党中央向大会致祝词。他说：“青年团在中国共产党的领导下，积极参加了我国的民主革命和社会主义革命的斗争，积极参加了伟大的社会主义建设。青年团在自己的工作中，表现得不愧为祖国的优秀儿女的旗帜，不愧为党在各个战线上的有力的助手。”他还代表党中央要求青年团“团结全体青年积极参加建设社会主义的劳动，以便尽快地把我国建设成为一伟大的社会主义工业国”。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大会听取、讨论和通过了由胡耀邦所作的题为《团结全国青年建设社会主义新中国》的工作报告，修改了团的章程，并且一致通过了《关于将中国新民主主义青年团改名为中国共产主义青年团的决议》。《决议》指出：“为了确切地反映我们团所担负的政治任务和广大团员的意志，大会一致通过将中国新民主主义青年团改名为中国共产主义青年团。”“为了继承和发扬我国青年运动的光荣传统，应该将改名以后团的全国代表大会和过去的中国社会主义青年团、中国共产主义青年团以及中国新民主主义青年团历次代表大会相衔接，依照次序加以排列，把下一次团的代表大会定名为中国共产主义青年团第九次全国代表大会”。会议选出的青年团第三届中央委员会选举胡耀邦担任团中央书记处第一书记。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青年团三大以后，正值中国共产党在探索中国自己建设社会主义道路过程中，走上曲折发展进程之时。在这个曲折的进程中，共青团带领广大团员和青年怀着尽快改变中国“一穷二白”面貌的强烈愿望，积极地投入到经济建设的各项事业中，做社会主义建设的突击队，做战胜艰难险阻的生力军。在技术革新的成果中，有共青团员的心血；在农田基本建设的大军中，飘扬着共青团的战旗；在大庆油田的开发中，有共青团员的贡献；在落实克服暂时经济困难的措施的实践中，留下了共青团为国分忧的业绩。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在社会生活经常发生重大变迁的时候，青年人尤其需要思想的武装。为此，团中央在1958年6月作出了《关于组织广大青年学习马克思列宁主义、学习毛泽东著作的决议》，组织带领青年掀起学习毛泽东著作、学习政治理论的热潮。在1960年4月10日至20日团中央又与全国总工会、全国妇联联合在哈尔滨召开了“全国青年学习马克思列宁主义、学习毛泽东著作黑龙江现场会”，以推进这个学习热潮的深入发展。这项学习活动在全国青年中普及了马克思列宁主义、毛泽东思想，促进了一代青年的健康成长。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伟大的共产主义战士雷锋就是在学习毛泽东著作过程中成长起来的中国优秀青年的杰出代表。他在短暂的22年的生命历程中，用平凡的业迹，书写了不平凡的人生历史，体现了人类高尚情操和完美品格的最佳结合。他的事迹具有强烈的感召力。这个典型一出现，共青团组织及时作出决定，在全国青少年中开展学习雷锋活动。不久，经过党和国家领导人的关怀、支持和鼓励，这项活动发展成为全民性的历久不衰的经常性活动。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学习毛泽东著作活动和学习雷锋活动的广泛深入地开展，促进了广大青少年思想觉悟的提高，在社会上出现了一大批模范青少年，象爱民模范欧阳海、舍己救人的王杰、钢铁战士麦贤德、“草原英雄小姐妹”龙梅、玉荣等就是其中为人们所熟知的突出代表。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1964年6月11日至29日，在国民经济出现全面好转和在政治思想文化方面左倾错误进一步发展的形势下，中国共产主义青年团第九次全国代表大会在北京举行。出席大会的正式代表有2396名，列席代表927人，是历届代表大会人数最多的。党和国家领导人毛泽东、刘少奇、周恩来、邓小平等人出席了开幕式，接见了全体代表，并且同代表中的部分青年模范人物进行了亲切的交谈。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会议期间，邓小平代表中共中央向大会作了政治报告。他要求共青团要依靠团员，依靠进步青年，按照不同青年的特点和志趣，采用多种形式，最大限度地把青年团结和组织起来。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胡耀邦作了题为《为我国青年革命化而斗争》的工作报告，胡克实作了《关于修改团的章程的报告》，最后选举了新的中央委员会。在九届一中全会上，胡耀邦当选为团中央书记处第一书记，同时选出了由29人组成的团中央常务委员会。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这次大会提出了社会主义时期全国青年所面临的历史任务是“要把我国建设成为具有现代农业、现代工业、现代国防和科学技术的社会主义强国”，号召全国青年“一定要发扬我们革命前辈愚公移山的伟大精神，贡献出一切力量，充当社会主义的突击队。”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这次大会根据当时共青团建设的实际情况，强调指出，坚持共青团的先进性，加强同青年群众的密切联系，这是增强团的战斗力的两个基本条件。大会提出的“朝气蓬勃、实事求是”的作风，既概括了共青团干部的优点和特点，也针对了“大跃进“以来干部作风存在的问题，这对共青团作风建设有着重要的指导意义。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但是，这次大会也在“左“的思想影响下，要求青年以阶级斗争为纲，不断地开展所谓”兴无灭资“的斗争，这就不可避免的要伤害某些青年。另外，会议还把当时中苏两党关于国际共产主义总路线论战，套用到青年工作上，提出所谓“青年工作上两条根本对立的路线”。这是不符合实际情况的。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共青团九大闭幕仅一年多的时间，给国家和民族带来深重灾难的“文化大革命”就拉开了序幕。随着运动的全面发动，共青团组织和全国人民一道遭受了一场空前的浩劫。共青团不仅被说成是“全民团、生产团、娱乐团”，而且各级组织都完全停止了活动，工作机构均被破坏，以致在长达12年的时间里共青团没有了系统领导。在十年动乱初期，由于“左”倾思潮孕育的红卫兵很快就暴露了许多无法克服的弱点，所以在1969年4月召开的党的九届一中全会上，毛泽东就明确提出要开展整团建团工作。然而在“文化大革命”的形势下，整团建团工作始终受到“左”的干扰和破坏，所以直到“文化大革命”的结束，整团建团的任务始终没能完成。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1976年10月，祸国殃民的“四人帮”终于垮台，全国人民一片欢腾。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在全国局势逐步稳定的基础上，由于有以邓小平为代表的老一辈无产阶级革命家的推动，才逐步开始了对“文化大革命”遗留下来的问题的清理工作。在这样的形势下，根据全国各地各级团委的强烈要求和全国4800万名团员的意愿，中共中央于1978年5月4日发出了《关于召开中国共产主义青年团第十次全国代表大会的通知》，并且在同时组成了中国共产主义青年团第十次全国代表大会筹备委员会。在团十大筹委会的领导下，于7月恢复了停办12年的中央团校，并且在8月10日举行了复校后首批学员的开学典礼；接着，于9月11日团中央机关刊物《中国青年》复刊，于10月7日团中央机关报《中国青年报》复刊。与此同时，共青团十大的其它筹备工作也基本完成，大会召开的条件已经成熟了。</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1978年10月16日，在共青团十大筹委会的具体组织领导下，中国共产主义青年团第十次全国代表大会开幕式在北京人民大会堂隆重举行。党和国家领导人出席了开幕式，并且在会议期间接见了出席会议的2000名全体代表。在开幕式上，由中共中央副主席李先念代表党中央和国务院向大会致词。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会议期间，代表们听取了国家有关部门领导人关于科学技术、国际形势、国内形势和任务的报告。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xml:space="preserve">　　大会听取、讨论和通过了团十大筹委会主任韩英所作的题为《为伟大的新长征贡献青春》的工作报告；听取、讨论了胡启立所作的《关于修改团的章程的报告》，通过了《中国共产主义青年团章程》。会议最后选出了第十届中央委员会。大会于10月26日闭幕。团十届中央委员会选举韩英担任团中央书记处第一书记，选举25名团中央委员组成团中央常务委员会。 </w:t>
      </w:r>
      <w:r>
        <w:rPr>
          <w:rFonts w:hint="eastAsia" w:ascii="仿宋" w:hAnsi="仿宋" w:eastAsia="仿宋" w:cs="仿宋"/>
          <w:color w:val="000000"/>
          <w:sz w:val="21"/>
          <w:szCs w:val="21"/>
          <w:u w:val="none"/>
        </w:rPr>
        <w:br w:type="textWrapping"/>
      </w:r>
      <w:r>
        <w:rPr>
          <w:rFonts w:hint="eastAsia" w:ascii="仿宋" w:hAnsi="仿宋" w:eastAsia="仿宋" w:cs="仿宋"/>
          <w:color w:val="000000"/>
          <w:sz w:val="21"/>
          <w:szCs w:val="21"/>
          <w:u w:val="none"/>
        </w:rPr>
        <w:t>　　共青团十大的召开，标志着从1969年4月提出的全面恢复共青团工作的任务基本完成。这次会议是一次动员全国各族青年沿着社会主义道路进行新长征的誓师大会，是共青团紧跟党中央的战略部署，即将开始拨乱反正、继往开来的大会。</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ascii="仿宋" w:hAnsi="仿宋" w:eastAsia="仿宋" w:cs="仿宋"/>
          <w:color w:val="000000"/>
          <w:sz w:val="21"/>
          <w:szCs w:val="21"/>
        </w:rPr>
      </w:pPr>
    </w:p>
    <w:p>
      <w:pPr>
        <w:widowControl/>
        <w:jc w:val="left"/>
        <w:rPr>
          <w:rFonts w:ascii="仿宋" w:hAnsi="仿宋" w:eastAsia="仿宋"/>
          <w:color w:val="000000"/>
          <w:kern w:val="0"/>
          <w:sz w:val="21"/>
          <w:szCs w:val="21"/>
        </w:rPr>
      </w:pPr>
    </w:p>
    <w:p>
      <w:pPr>
        <w:pStyle w:val="10"/>
        <w:widowControl/>
        <w:spacing w:line="360" w:lineRule="auto"/>
        <w:rPr>
          <w:rFonts w:ascii="仿宋" w:hAnsi="仿宋" w:eastAsia="仿宋" w:cs="仿宋"/>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9"/>
        <w:rPr>
          <w:rFonts w:hint="eastAsia" w:ascii="仿宋" w:hAnsi="仿宋" w:eastAsia="仿宋"/>
          <w:b/>
          <w:bCs/>
          <w:sz w:val="32"/>
          <w:szCs w:val="32"/>
        </w:rPr>
      </w:pPr>
      <w:r>
        <w:rPr>
          <w:rFonts w:hint="eastAsia" w:ascii="仿宋" w:hAnsi="仿宋" w:eastAsia="仿宋"/>
          <w:b/>
          <w:bCs/>
          <w:sz w:val="32"/>
          <w:szCs w:val="32"/>
        </w:rPr>
        <w:t>团章（节选）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eastAsia" w:ascii="仿宋" w:hAnsi="仿宋" w:eastAsia="仿宋" w:cs="仿宋"/>
          <w:sz w:val="21"/>
          <w:szCs w:val="21"/>
        </w:rPr>
      </w:pPr>
      <w:r>
        <w:rPr>
          <w:rFonts w:hint="eastAsia" w:ascii="仿宋" w:hAnsi="仿宋" w:eastAsia="仿宋" w:cs="仿宋"/>
          <w:b/>
          <w:bCs/>
          <w:sz w:val="24"/>
          <w:szCs w:val="24"/>
        </w:rPr>
        <w:t>第九章</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团的经费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仿宋" w:hAnsi="仿宋" w:eastAsia="仿宋" w:cs="仿宋"/>
          <w:sz w:val="21"/>
          <w:szCs w:val="21"/>
        </w:rPr>
      </w:pPr>
      <w:r>
        <w:rPr>
          <w:rFonts w:hint="eastAsia" w:ascii="仿宋" w:hAnsi="仿宋" w:eastAsia="仿宋" w:cs="仿宋"/>
          <w:sz w:val="21"/>
          <w:szCs w:val="21"/>
        </w:rPr>
        <w:t>第四十一条</w:t>
      </w:r>
      <w:r>
        <w:rPr>
          <w:rFonts w:hint="eastAsia" w:ascii="仿宋" w:hAnsi="仿宋" w:eastAsia="仿宋" w:cs="仿宋"/>
          <w:sz w:val="21"/>
          <w:szCs w:val="21"/>
          <w:lang w:eastAsia="zh-CN"/>
        </w:rPr>
        <w:t>、</w:t>
      </w:r>
      <w:r>
        <w:rPr>
          <w:rFonts w:hint="eastAsia" w:ascii="仿宋" w:hAnsi="仿宋" w:eastAsia="仿宋" w:cs="仿宋"/>
          <w:sz w:val="21"/>
          <w:szCs w:val="21"/>
        </w:rPr>
        <w:t>团的经费来源主要是:团员交纳的团费、党和政府以及企事业单位关于青少年事业的经费和团的工作经费、正当的社会资助和团组织的其它合法收入。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仿宋" w:hAnsi="仿宋" w:eastAsia="仿宋" w:cs="仿宋"/>
          <w:sz w:val="21"/>
          <w:szCs w:val="21"/>
        </w:rPr>
      </w:pPr>
      <w:r>
        <w:rPr>
          <w:rFonts w:hint="eastAsia" w:ascii="仿宋" w:hAnsi="仿宋" w:eastAsia="仿宋" w:cs="仿宋"/>
          <w:sz w:val="21"/>
          <w:szCs w:val="21"/>
        </w:rPr>
        <w:t>第四十二条</w:t>
      </w:r>
      <w:r>
        <w:rPr>
          <w:rFonts w:hint="eastAsia" w:ascii="仿宋" w:hAnsi="仿宋" w:eastAsia="仿宋" w:cs="仿宋"/>
          <w:sz w:val="21"/>
          <w:szCs w:val="21"/>
          <w:lang w:eastAsia="zh-CN"/>
        </w:rPr>
        <w:t>、</w:t>
      </w:r>
      <w:r>
        <w:rPr>
          <w:rFonts w:hint="eastAsia" w:ascii="仿宋" w:hAnsi="仿宋" w:eastAsia="仿宋" w:cs="仿宋"/>
          <w:sz w:val="21"/>
          <w:szCs w:val="21"/>
        </w:rPr>
        <w:t>团费的交纳和管理使用办法由中央委员会统一规定。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eastAsia" w:ascii="仿宋" w:hAnsi="仿宋" w:eastAsia="仿宋" w:cs="仿宋"/>
          <w:sz w:val="21"/>
          <w:szCs w:val="21"/>
        </w:rPr>
      </w:pPr>
      <w:r>
        <w:rPr>
          <w:rFonts w:hint="eastAsia" w:ascii="仿宋" w:hAnsi="仿宋" w:eastAsia="仿宋" w:cs="仿宋"/>
          <w:b/>
          <w:bCs/>
          <w:sz w:val="24"/>
          <w:szCs w:val="24"/>
        </w:rPr>
        <w:t>第十章</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团同少年先锋队的关系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仿宋" w:hAnsi="仿宋" w:eastAsia="仿宋" w:cs="仿宋"/>
          <w:sz w:val="21"/>
          <w:szCs w:val="21"/>
        </w:rPr>
      </w:pPr>
      <w:r>
        <w:rPr>
          <w:rFonts w:hint="eastAsia" w:ascii="仿宋" w:hAnsi="仿宋" w:eastAsia="仿宋" w:cs="仿宋"/>
          <w:sz w:val="21"/>
          <w:szCs w:val="21"/>
        </w:rPr>
        <w:t>第四十三条</w:t>
      </w:r>
      <w:r>
        <w:rPr>
          <w:rFonts w:hint="eastAsia" w:ascii="仿宋" w:hAnsi="仿宋" w:eastAsia="仿宋" w:cs="仿宋"/>
          <w:sz w:val="21"/>
          <w:szCs w:val="21"/>
          <w:lang w:eastAsia="zh-CN"/>
        </w:rPr>
        <w:t>、</w:t>
      </w:r>
      <w:r>
        <w:rPr>
          <w:rFonts w:hint="eastAsia" w:ascii="仿宋" w:hAnsi="仿宋" w:eastAsia="仿宋" w:cs="仿宋"/>
          <w:sz w:val="21"/>
          <w:szCs w:val="21"/>
        </w:rPr>
        <w:t>中国少年先锋队是中国少年儿童的群团组织，是少年儿童学习中国特色社会主义和共产主义的学校，是建设社会主义和共产主义的预备队。共青团要发扬"全团带队"的传统，健全少先队组织的各级工作机构，加强少先队组织建设，支持少先队创造性地开展组织教育、自主教育、实践活动，保护和关心少年儿童的成长，坚持以社会主义思想和共产主义精神教育少年儿童，引导他们听党的话，好好学习，天天向上，从小学习做人、从小学习立志、从小学习创造，爱祖国，爱人民，爱劳动，爱科学，爱社会主义，锻炼身体，培养能力，学习和实践社会主义核心价值观，努力成长为担当民族复兴大任的时代新人，做共产主义事业的接班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仿宋" w:hAnsi="仿宋" w:eastAsia="仿宋" w:cs="仿宋"/>
          <w:sz w:val="21"/>
          <w:szCs w:val="21"/>
        </w:rPr>
      </w:pPr>
      <w:r>
        <w:rPr>
          <w:rFonts w:hint="eastAsia" w:ascii="仿宋" w:hAnsi="仿宋" w:eastAsia="仿宋" w:cs="仿宋"/>
          <w:sz w:val="21"/>
          <w:szCs w:val="21"/>
        </w:rPr>
        <w:t>中学共青团组织应加强对少先队员入团前的培养教育，少先队组织应积极推荐优秀少先队员作团的发展对象。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仿宋" w:hAnsi="仿宋" w:eastAsia="仿宋" w:cs="仿宋"/>
          <w:sz w:val="21"/>
          <w:szCs w:val="21"/>
        </w:rPr>
      </w:pPr>
      <w:r>
        <w:rPr>
          <w:rFonts w:hint="eastAsia" w:ascii="仿宋" w:hAnsi="仿宋" w:eastAsia="仿宋" w:cs="仿宋"/>
          <w:sz w:val="21"/>
          <w:szCs w:val="21"/>
        </w:rPr>
        <w:t>第四十四条</w:t>
      </w:r>
      <w:r>
        <w:rPr>
          <w:rFonts w:hint="eastAsia" w:ascii="仿宋" w:hAnsi="仿宋" w:eastAsia="仿宋" w:cs="仿宋"/>
          <w:sz w:val="21"/>
          <w:szCs w:val="21"/>
          <w:lang w:eastAsia="zh-CN"/>
        </w:rPr>
        <w:t>、</w:t>
      </w:r>
      <w:r>
        <w:rPr>
          <w:rFonts w:hint="eastAsia" w:ascii="仿宋" w:hAnsi="仿宋" w:eastAsia="仿宋" w:cs="仿宋"/>
          <w:sz w:val="21"/>
          <w:szCs w:val="21"/>
        </w:rPr>
        <w:t>团的组织选派优秀团员或者聘请思想进步、作风正派、知识丰富、热爱少年儿童的教师、先进人物以及其他人员，担任少年先锋队的辅导员，并从思想上、工作上、生活上关心他们，帮助他们不断提高政治和业务水平。对有显著成绩的辅导员和少先队工作者，应当给以表扬和奖励。</w:t>
      </w:r>
    </w:p>
    <w:p>
      <w:pPr>
        <w:jc w:val="center"/>
        <w:outlineLvl w:val="1"/>
        <w:rPr>
          <w:rFonts w:ascii="仿宋" w:hAnsi="仿宋" w:eastAsia="仿宋"/>
          <w:b/>
          <w:bCs/>
          <w:sz w:val="32"/>
          <w:szCs w:val="32"/>
        </w:rPr>
      </w:pPr>
    </w:p>
    <w:p>
      <w:pPr>
        <w:widowControl/>
        <w:spacing w:line="360" w:lineRule="auto"/>
        <w:jc w:val="left"/>
      </w:pPr>
      <w:r>
        <w:br w:type="page"/>
      </w:r>
    </w:p>
    <w:p>
      <w:pPr>
        <w:widowControl/>
        <w:numPr>
          <w:ilvl w:val="0"/>
          <w:numId w:val="1"/>
        </w:numPr>
        <w:spacing w:line="360" w:lineRule="auto"/>
        <w:jc w:val="center"/>
        <w:outlineLvl w:val="0"/>
        <w:rPr>
          <w:rFonts w:hint="eastAsia" w:ascii="仿宋" w:hAnsi="仿宋" w:eastAsia="仿宋"/>
          <w:b/>
          <w:bCs/>
          <w:sz w:val="36"/>
          <w:szCs w:val="36"/>
        </w:rPr>
      </w:pPr>
      <w:bookmarkStart w:id="21" w:name="_Toc19026"/>
      <w:r>
        <w:rPr>
          <w:rFonts w:hint="eastAsia" w:ascii="仿宋" w:hAnsi="仿宋" w:eastAsia="仿宋"/>
          <w:b/>
          <w:bCs/>
          <w:sz w:val="36"/>
          <w:szCs w:val="36"/>
        </w:rPr>
        <w:t>时事政治</w:t>
      </w:r>
      <w:bookmarkEnd w:id="21"/>
    </w:p>
    <w:p>
      <w:pPr>
        <w:spacing w:line="360" w:lineRule="auto"/>
        <w:jc w:val="center"/>
        <w:outlineLvl w:val="1"/>
        <w:rPr>
          <w:rFonts w:hint="eastAsia" w:ascii="仿宋" w:hAnsi="仿宋" w:eastAsia="仿宋"/>
          <w:b/>
          <w:color w:val="333333"/>
          <w:sz w:val="32"/>
          <w:szCs w:val="32"/>
        </w:rPr>
      </w:pPr>
      <w:bookmarkStart w:id="22" w:name="_Toc25469"/>
      <w:bookmarkStart w:id="23" w:name="_Toc8034"/>
      <w:bookmarkStart w:id="24" w:name="_Toc21878"/>
      <w:bookmarkStart w:id="25" w:name="_Toc26663"/>
      <w:bookmarkStart w:id="26" w:name="_Toc12269"/>
      <w:bookmarkStart w:id="27" w:name="_Toc31256"/>
      <w:bookmarkStart w:id="28" w:name="_Toc32764"/>
      <w:r>
        <w:rPr>
          <w:rFonts w:hint="eastAsia" w:ascii="仿宋" w:hAnsi="仿宋" w:eastAsia="仿宋"/>
          <w:b/>
          <w:color w:val="333333"/>
          <w:sz w:val="32"/>
          <w:szCs w:val="32"/>
        </w:rPr>
        <w:t>国内新闻</w:t>
      </w:r>
      <w:bookmarkEnd w:id="22"/>
      <w:bookmarkEnd w:id="23"/>
      <w:bookmarkEnd w:id="24"/>
      <w:bookmarkEnd w:id="25"/>
      <w:bookmarkEnd w:id="26"/>
      <w:bookmarkEnd w:id="27"/>
      <w:bookmarkEnd w:id="28"/>
    </w:p>
    <w:p>
      <w:pPr>
        <w:spacing w:line="360" w:lineRule="auto"/>
        <w:outlineLvl w:val="2"/>
        <w:rPr>
          <w:rFonts w:ascii="仿宋" w:hAnsi="仿宋" w:eastAsia="仿宋"/>
          <w:b/>
          <w:bCs/>
          <w:color w:val="333333"/>
          <w:kern w:val="0"/>
          <w:sz w:val="28"/>
          <w:szCs w:val="28"/>
          <w:shd w:val="clear" w:color="auto" w:fill="FAFBFC"/>
        </w:rPr>
      </w:pPr>
      <w:r>
        <w:rPr>
          <w:rFonts w:hint="eastAsia" w:ascii="仿宋" w:hAnsi="仿宋" w:eastAsia="仿宋"/>
          <w:b/>
          <w:bCs/>
          <w:sz w:val="28"/>
          <w:szCs w:val="28"/>
        </w:rPr>
        <w:t>1、钟南山院士：国产疫苗对德尔塔毒株有效，大家应该打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sz w:val="21"/>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3257550</wp:posOffset>
            </wp:positionH>
            <wp:positionV relativeFrom="paragraph">
              <wp:posOffset>90805</wp:posOffset>
            </wp:positionV>
            <wp:extent cx="1975485" cy="1664335"/>
            <wp:effectExtent l="0" t="0" r="5715" b="12065"/>
            <wp:wrapSquare wrapText="bothSides"/>
            <wp:docPr id="1029" name="图片 1" descr="IMG_256"/>
            <wp:cNvGraphicFramePr/>
            <a:graphic xmlns:a="http://schemas.openxmlformats.org/drawingml/2006/main">
              <a:graphicData uri="http://schemas.openxmlformats.org/drawingml/2006/picture">
                <pic:pic xmlns:pic="http://schemas.openxmlformats.org/drawingml/2006/picture">
                  <pic:nvPicPr>
                    <pic:cNvPr id="1029" name="图片 1" descr="IMG_256"/>
                    <pic:cNvPicPr/>
                  </pic:nvPicPr>
                  <pic:blipFill>
                    <a:blip r:embed="rId10" cstate="print"/>
                    <a:srcRect/>
                    <a:stretch>
                      <a:fillRect/>
                    </a:stretch>
                  </pic:blipFill>
                  <pic:spPr>
                    <a:xfrm>
                      <a:off x="0" y="0"/>
                      <a:ext cx="1975485" cy="1664335"/>
                    </a:xfrm>
                    <a:prstGeom prst="rect">
                      <a:avLst/>
                    </a:prstGeom>
                    <a:ln>
                      <a:noFill/>
                    </a:ln>
                  </pic:spPr>
                </pic:pic>
              </a:graphicData>
            </a:graphic>
          </wp:anchor>
        </w:drawing>
      </w:r>
      <w:r>
        <w:rPr>
          <w:rFonts w:hint="eastAsia" w:ascii="仿宋" w:hAnsi="仿宋" w:eastAsia="仿宋"/>
          <w:sz w:val="21"/>
          <w:szCs w:val="21"/>
        </w:rPr>
        <w:t>上海的新冠疫苗接种工作正在有序推进中。截至6月26日，上海多区实现18周岁以上人群新冠疫苗接种率达到77.6%。这对下一步全市组织和动员市民进行新冠疫苗接种、防止新冠病毒的快速传播有积极的意义。但也有不少网友询问，针对广东多地引发本土疫情的德尔塔变异毒株，疫苗的保护力是否会下降呢？对此，国家呼吸系统疾病临床医学研究中心主任、中国工程院院士钟南山教授日前发出最新研判，正在全球范围内蔓延流行的德尔塔变异毒株具有的传播力强、潜伏期短等特点，但不管是实验室结果还是真实世界的第一手资料，都表明现在我们国产的疫苗对Delta毒株还是有效的，大家应该快点打疫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sz w:val="21"/>
          <w:szCs w:val="21"/>
        </w:rPr>
      </w:pPr>
      <w:r>
        <w:rPr>
          <w:rFonts w:hint="eastAsia" w:ascii="仿宋" w:hAnsi="仿宋" w:eastAsia="仿宋"/>
          <w:b/>
          <w:bCs/>
          <w:sz w:val="21"/>
          <w:szCs w:val="21"/>
        </w:rPr>
        <w:t>共筑防疫“铜墙铁壁”，上海三区接种率达77.6%</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sz w:val="21"/>
          <w:szCs w:val="21"/>
        </w:rPr>
      </w:pPr>
      <w:r>
        <w:rPr>
          <w:rFonts w:hint="eastAsia" w:ascii="仿宋" w:hAnsi="仿宋" w:eastAsia="仿宋"/>
          <w:sz w:val="21"/>
          <w:szCs w:val="21"/>
        </w:rPr>
        <w:t>　　记者昨天下午从上海市卫健委获悉，截至6月26日，黄浦区和崇明区先后实现18周岁以上人群新冠疫苗接种率达到77.6%。在此之前，截至6月23日，长宁区18周岁以上人群新冠疫苗接种率在全市率先达到77.6%。</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在长宁区有个“网红接种点”——上海市同仁医院，截至26日该院各疫苗点接种新冠疫苗数累计10万剂次。今年4月，全市首个外籍人士接种点在同仁医院开启，此后，医院又多次举办专场接种服务，以满足本地居民、外籍人士、港澳台同胞接种疫苗的需求，不少我国台湾的公众人士在该院完成接种。互联网上传播着不少外籍人士、港澳台同胞在同仁医院注射时疫苗时自拍的画面，医院贴心的服务和规范的管理引得不少网友点赞。</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推进疫苗接种工作，社区医护人员功不可没。”上海市疾控中心副主任孙晓冬表示，作为组织和动员疫苗接种的“排头兵”，他们白天加班加点打疫苗，晚上清点库存，凌晨接收新一批疫苗，工作非常辛苦。同时，一些单位还积极组织员工整建制接种，对快速提高接种覆盖率起到良好效果。下一步，上海将继续提高疫苗接种的覆盖率，提高未接种人群的接种意愿，树立其对疫苗的正确认识，争取早日实现全市免疫屏障的建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sz w:val="21"/>
          <w:szCs w:val="21"/>
        </w:rPr>
      </w:pPr>
      <w:r>
        <w:rPr>
          <w:rFonts w:hint="eastAsia" w:ascii="仿宋" w:hAnsi="仿宋" w:eastAsia="仿宋"/>
          <w:b/>
          <w:bCs/>
          <w:sz w:val="21"/>
          <w:szCs w:val="21"/>
        </w:rPr>
        <w:t>“疫苗接种率超过80%，有机会把疫情流行降低到流感的水平”</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疫情的发展是关乎社会稳定的重要因素，而最近国际和国内出现了病毒加速变异的趋势，也给人们带来一些担忧。“德尔塔株的蔓延，特别是英国现在“德尔塔”株迅速战胜了最早主导的阿尔法株，前者占了90%以上，而且即便是在接种疫苗达到一定比例的前提下，也出现了温和的第三波疫情，同时中国部分地区今年也看到出现了德尔塔株的传播。在这种情况下大家非常担心，下一步我们的方向在哪里？”国家传染病医学中心主任、上海市新冠肺炎医疗救治专家组组长、华山医院感染科主任张文宏教授说，长期来看，我们仍然面临“外防输入、内防反弹”的双重防控压力。接种疫苗是目前世界上预防新冠疫情最有效的手段。截至6月24日，我国累计报告接种新冠病毒疫苗11亿2064.3万剂次。如果不出意外，在今年6月底全国完成40%的人群接种的目标应该可以达成。</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目前，把如此聪明狡猾的新冠病毒“消灭”已经不太可能，而我们能做的，是尽量阻断病毒的流行。在张文宏看来，我们还要进一步加强疫苗的接种，进一步提高疫苗的保护率和接种率，如果国内的民众当中，疫苗的接种率能够超过80%，疫苗的保护率高于80%，在这种情况下有机会把这次疫情流行降低到流感的水平。</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b/>
          <w:bCs/>
          <w:sz w:val="21"/>
          <w:szCs w:val="21"/>
        </w:rPr>
      </w:pPr>
      <w:r>
        <w:rPr>
          <w:rFonts w:hint="eastAsia" w:ascii="仿宋" w:hAnsi="仿宋" w:eastAsia="仿宋"/>
          <w:b/>
          <w:bCs/>
          <w:sz w:val="21"/>
          <w:szCs w:val="21"/>
        </w:rPr>
        <w:t>“德尔塔变异毒株，我们的疫苗仍有效”</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数据显示，目前德尔塔变异毒株已传播至90多个国家，它对全球的疫情防控带来巨大挑战，接种疫苗的重要性和必要性毋庸置疑。中国疾控中心研究员冯子健表示，从此前广州等地重新出现的疫情传播来看，老年病例较多，这与人群聚集有关，地区的疫苗接种率较低也是一个问题。研究发现，国产疫苗尽管中和的效力有所下降，但是仍然是有保护的。</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钟南山院士此前接受央视采访时也明确表示，从实验室的结果来看，整体来说，我们国内最常用的三种疫苗对Delta毒株还是有保护作用的。他指出，广州通过观察感染者及密接者的接种疫苗效果发现，完成全程免疫接种的预防效果明显，预防密接接触者感染的效果为69%，预防发展为肺炎的效果为73%，预防重症效果达95%以上。广东省的数据显示，接种了两剂疫苗的密接者，疫苗对预防发病的保护力近60%，预防肺炎的保护力近80%，没有患者转为重症和危重症。</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不管是实验室结果还是真实世界的第一手资料，都说明现在我们的国产的最常用的疫苗对Delta毒株还是有效的，所以我现在很明确地给大家回答，大家应该打疫苗。”钟南山院士表示，国产疫苗的保护率约为70%，这就需要80%以上的人群接种疫苗，目前距离这样的理想目标还有不小的差距，仍要快速地推动疫苗更广泛的覆盖，这样也会起到压制病毒传播的作用，也会有效地遏制病毒变异的发生。</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仿宋" w:hAnsi="仿宋" w:eastAsia="仿宋"/>
          <w:sz w:val="21"/>
          <w:szCs w:val="21"/>
        </w:rPr>
      </w:pPr>
      <w:r>
        <w:rPr>
          <w:rFonts w:hint="eastAsia" w:ascii="仿宋" w:hAnsi="仿宋" w:eastAsia="仿宋"/>
          <w:sz w:val="21"/>
          <w:szCs w:val="21"/>
        </w:rPr>
        <w:t>　　最近一段时间，上海的疫苗接种点有了一些变化和调整，但仍然鼓励大家应接尽接，尤其是打了第一针的，别忘记去打第二针。为什么要多次强调接种疫苗？首先是保护自己，其次是社会责任。今年5月，钟南山院士曾在一次主旨演讲中谈到，通过接种疫苗实现群体免疫需要2-3年时间的全球协作：疫苗有效性达到70%时，全球、中国、亚洲以及欧洲的接种率需分别达到89.2%、83.3%、80.2%、96.2%；疫苗有效性达到80%时，全球、中国、亚洲以及欧洲的接种率需分别达到78%、72.9%、70.2%、84.2%。</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sz w:val="21"/>
          <w:szCs w:val="21"/>
        </w:rPr>
      </w:pPr>
      <w:r>
        <w:rPr>
          <w:rFonts w:hint="eastAsia" w:ascii="仿宋" w:hAnsi="仿宋" w:eastAsia="仿宋"/>
          <w:sz w:val="21"/>
          <w:szCs w:val="21"/>
        </w:rPr>
        <w:t>抗“疫”道路上离不开每个人的共同努力，希望大家都能“应接尽接”，通过疫苗接种支起一张巨型保护伞，让那些被疫苗接种适应症排除在外、无法接种疫苗的人群，都能被这种由社会群体建立起来的免疫力很好地保护起来。</w:t>
      </w:r>
    </w:p>
    <w:p>
      <w:pPr>
        <w:numPr>
          <w:ilvl w:val="0"/>
          <w:numId w:val="0"/>
        </w:numPr>
        <w:spacing w:line="360" w:lineRule="auto"/>
        <w:outlineLvl w:val="2"/>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2."祝融"好样的! 人类首次拍下火星车在火星移动影像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default" w:ascii="仿宋" w:hAnsi="仿宋" w:eastAsia="仿宋"/>
          <w:b w:val="0"/>
          <w:bCs w:val="0"/>
          <w:sz w:val="21"/>
          <w:szCs w:val="21"/>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3270250</wp:posOffset>
            </wp:positionH>
            <wp:positionV relativeFrom="paragraph">
              <wp:posOffset>122555</wp:posOffset>
            </wp:positionV>
            <wp:extent cx="2020570" cy="1360170"/>
            <wp:effectExtent l="0" t="0" r="17780" b="11430"/>
            <wp:wrapSquare wrapText="bothSides"/>
            <wp:docPr id="1030" name="图片 18" descr="IMG_256"/>
            <wp:cNvGraphicFramePr/>
            <a:graphic xmlns:a="http://schemas.openxmlformats.org/drawingml/2006/main">
              <a:graphicData uri="http://schemas.openxmlformats.org/drawingml/2006/picture">
                <pic:pic xmlns:pic="http://schemas.openxmlformats.org/drawingml/2006/picture">
                  <pic:nvPicPr>
                    <pic:cNvPr id="1030" name="图片 18" descr="IMG_256"/>
                    <pic:cNvPicPr/>
                  </pic:nvPicPr>
                  <pic:blipFill>
                    <a:blip r:embed="rId11" cstate="print"/>
                    <a:srcRect/>
                    <a:stretch>
                      <a:fillRect/>
                    </a:stretch>
                  </pic:blipFill>
                  <pic:spPr>
                    <a:xfrm>
                      <a:off x="0" y="0"/>
                      <a:ext cx="2020570" cy="1360170"/>
                    </a:xfrm>
                    <a:prstGeom prst="rect">
                      <a:avLst/>
                    </a:prstGeom>
                    <a:ln>
                      <a:noFill/>
                    </a:ln>
                  </pic:spPr>
                </pic:pic>
              </a:graphicData>
            </a:graphic>
          </wp:anchor>
        </w:drawing>
      </w:r>
      <w:r>
        <w:rPr>
          <w:rFonts w:hint="default" w:ascii="仿宋" w:hAnsi="仿宋" w:eastAsia="仿宋"/>
          <w:b w:val="0"/>
          <w:bCs w:val="0"/>
          <w:sz w:val="21"/>
          <w:szCs w:val="21"/>
          <w:lang w:val="en-US" w:eastAsia="zh-CN"/>
        </w:rPr>
        <w:t>6月27日，党的百年华诞前夕，国家航天局发布我国天问一号火星探测任务着陆和巡视探测系列实拍影像，包括着陆巡视器开伞和下降过程、“祝融号”火星车驶离着陆平台声音及火星表面移动过程视频，火星全局环境感知图像、火星车车辙图像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5月15日，我国首次火星探测任务天问一号着陆巡视器成功着陆火星，携带的开伞过程监视相机、落火状态监视相机、避障相机，记录了降落伞弹伞、开伞和抛伞，动力减速和避障等过程。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5月22日，火星车成功驶离着陆平台，到达火星表面开始巡视探测，火星车前后避障相机，记录了驶离过程，录音装置获取了驶离过程声音数据。音频中包括火星车驱动机构加电开始移动、坡道行驶、驶上火星表面等过程现场声音。火星车驶离过程声音主要来源于驱动机构、车轮与坡道摩擦、车轮与地面摩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6月1日，火星车WIFI分离相机拍摄着陆平台与火星车合影，相机记录了火星车后退移动和原地转弯过程，这是人类首次获取火星车在火星表面的移动过程影像。根据WIFI相机视场、焦距等参数，工作人员规划了相机分离的位置和行驶路径，火星车行驶到分离点后，释放WIFI相机，后退至合影点，相机拍摄着陆平台与火星车正面合影，随后火星车进行转弯，侧身面对相机，拍摄着陆平台与火星车侧身合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6月16日，火星车开展了全局环境感知，为后续阶段科学探测进行路径规划，并通过后避障相机，拍摄了火星车行驶的清晰车辙。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目前，天问一号环绕器在轨运行338天，地火距离3.6亿千米，“祝融号”火星车已在火星表面工作42个火星日，累计行驶236米。环绕器和火星车工作状态良好，从火星向党和祖国报告平安，在建党百年之际传来遥远祝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后续，火星车将继续按计划开展移动、感知、科学探测，环绕器继续运行在中继轨道，为火星车巡视探测提供中继通信，并开展环绕探测。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国家航天局发布天问一号系列实拍影像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此次发布的系列实拍影像，包括着陆巡视器开伞和下降过程、“祝融号”火星车驶离着陆平台声音及火星表面移动过程视频，火星全局环境感知图像、火星车车辙图像等。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中国首次火星探测任务工程副总指挥 刘继忠：通过这些拍摄，一个是对火星进一步的认识打下了很好的基础，也为我们后续的火星任务打下了非常好的基础。特别是这一次大家也可以看到，专门有我们火星车在离开我们着陆平台的时候所发出的声音。通过这些声音，我们可以对相关的火星的一些环境、一些大气的密度等等的参数，都进行一些更深入的一些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目前，“祝融号”火星车已在火星表面工作42个火星日，累计行驶236米，环绕器和火星车工作状态良好。后续，“祝融号”火星车将继续按计划开展移动、感知、科学探测。环绕器继续运行在中继轨道，为火星车巡视探测提供中继通信，并开展环绕探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中国首次火星探测任务工程副总指挥 刘继忠：火星车上一共6个科学载荷，现在全部都开机进行工作，目前都工作正常。这里我也希望国外的科学家能够加入到我们整个科学家团队里来，一起来进行研究，来取得更多的一些成果。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天问一号着陆火星过程实拍视频首次公开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在今天公布的这批实拍影像当中，着陆过程视频记录了天问一号着巡组合体成功软着陆火星的过程，其中包含了下降过程中的多个关键节点。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5月15日，我国首次火星探测任务天问一号着陆巡视器成功着陆火星，携带的开伞过程监视相机、落火状态监视相机、避障相机，记录了降落伞弹伞、开伞和抛伞，动力减速和避障等过程。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饶炜：设计的时候其实就是想获取一些可视化的状态，当作以后工程进一步改进的一个依据，然后就设计了几段，设计了我们有开伞的过程，有抛背罩的过程和动力下降的过程。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着陆过程视频中，第一个动作是开伞，它的主要目的就是为了减速。按照设计，在着巡组合体进入火星大气层后，速度从约每秒4.8公里逐渐减速到每秒400米，为了进一步减速，保证安全软着陆，需要采用降落伞进行减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饶炜：目前外形本身是一个钝体外形，阻力性非常强。因为考虑大气密度比较低，它的稳定性就很差，尤其是跨音速的时候，稳定性差它就容易翻个。这样的话我就提前在跨超音速段的时候，以前就把降落伞打开，这样的话就靠伞悬力把舱稳定下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当着巡组合体的速度和姿态都稳定之后，降落伞的使命就算完成了，需要在适当的高度将着巡组合体背罩和降落伞一起分离，随后通过着巡组合体的发动机进行再一次地减速。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饶炜：这个里面还有一个比较关键的一个环节，就是我在多高之后切（伞），它的切的高度是取决于我后面动力下降。我带了多少燃料，你太高了也不行，一切完了以后，马上舱就开始自由落体，它又开始加速，如果切太晚了，后面发动机提供的这种反推力它不够减速，所以说这也是一个比较关键的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经过动力减速和避障之后，着巡组合体成功软着陆在火星表面。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饶炜：我们通过遥测来看，其实我们现在着陆的位置和我们原定的、我们设计的位置只差3公里。综合来看其实落得是非常准，控制非常好。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天问一号：首次倾听来自火星车的声音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在我国以往的深空探测任务中，往往回传的都是图像和视频，而在我国天问一号火星探测任务中，研制人员特别设计了“采集声音”的功能。就在火星车驶离着陆平台的过程中，也记录下了这段珍贵的声音片段。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这段声音是5月22日火星车驶离着陆平台过程中，火星车上安装的录音装置获取的驶离过程声音数据。音频中包括火星车驱动机构加电开始移动、坡道行驶、驶上火星表面等过程现场声音。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贾阳：现在听到的是什么？实际上相当于是车的前轮履齿，它是一个大概47毫米的，然后那边每个小齿条是48毫米的，就让保证每次过来之后和前面齿条之间差那么一点点距离。然后再接着转完之后，它就有一个微观上往下滑那么一毫米的一个动作产生的履齿和齿条之间的一个撞击，然后相当于是一个金属碰撞的声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除了火星车齿轮与着陆平台梯子之间的碰撞声，还有电机工作的声音。两种声音混合在一起，形成了火星车驶离平台全过程的音频。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采访中记者了解到，安装在火星车上的声音收集装置，它的任务并不是采集火星车的声音，而是想听到真正来自火星的声音。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贾阳：它最本质的目的实际上是想听，当火星表面上风比较大的这个时候，然后火星的风的声音的这样的一种情况，相当于想听到地外天体的一个风声。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6月1日，火星车WIFI分离相机拍摄着陆平台与火星车合影，相机记录了火星车后退移动和原地转弯过程，这是人类首次获取火星车在火星表面的移动过程影像。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在摆放好相位置之后，“祝融号”火星车朝着着陆平台的方向后退，但是并不是朝正后方向行进的。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航天科技集团五院、天问一号探测器火星车总体主任设计师 陈百超：第一步是先后退4.5米。在这个后退过程中，WIFI探头首先是对火星车进行一个动态拍照，是一个火星车后退的这样的效果。但同时它会划过一个弧，我们这个也是做了一个精心设计，第一个好处就是它可以退到跟进入舱有一定的距离，这样的话这两个方向的视角都非常好，所以没有相互遮挡的问题。第二个，如果火星车在控制上有异常的话，它会直接撞到进入舱，这是我们接受不了的。所以我们在设计的时候设计了一个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在到达了指定位置之后，火星车又进行了转身的动作，于是留下了这张萌萌的合影。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航天科技集团五院、天问一号探测器火星车总体主任设计师 陈百超：火星车进行一个原地转向，它就是这样的一个转向。转向这个过程中，WiFi探头对它的一个转向进行动态的视频拍照，转向的效果虽然时间很短，但是还是很漂亮的，能看出来火星车的动作是很敏捷的。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天问一号：“祝融号”火星车已行驶超200米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截止到目前，我国在月球和火星上都有了自己的航天器。但相比于玉兔二号月球车，“祝融号”火星车的行驶速度明显更快一些，这是为什么呢？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2014年初，我国首辆月球车“玉兔号”由于受到复杂月面环境的影响，月球车的机构控制出现异常，不能继续在月表行驶。为此，在玉兔二号月球车到达月背之后，为了保证行驶安全，玉兔二号月球车在巡视探测过程中，采取了更为保守的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贾阳：我们实际上越障的能力实际上是200毫米就是20厘米，大概这么高的，过这样的一个石块实际上是可以的。但是在真正地控制玉兔二号使用的时候，我们限制的是60毫米，大概就是这个高度。比这个高度高的石块，我们采取的都是躲避的一个策略，就是相当于是非常谨慎、非常小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除此之外，由于地球与月球之间距离较近，可以实现地面工作人员与月球车之间的交互操作。所以，玉兔二号在每一次行走之前，地面人员会根据月球车发回来的前方地形图像，对行驶路线进行判断和规划，之后再告诉月球车如何行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但对于远在几亿公里之外的“祝融号”火星车而言，先规划再行走的工作模式很难实现。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航天科技集团五院、天问一号探测器副总设计师 贾阳：我们现在是类似于100毫米以上的，甚至是150毫米以上的（石块），我们都觉得该跨就跨，不能再采取躲避的策略了，那样的话就找不着路了。应该说（“祝融号”火星车）更多依赖于自主。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outlineLvl w:val="2"/>
        <w:rPr>
          <w:rFonts w:hint="default" w:ascii="仿宋" w:hAnsi="仿宋" w:eastAsia="仿宋"/>
          <w:b w:val="0"/>
          <w:bCs w:val="0"/>
          <w:sz w:val="21"/>
          <w:szCs w:val="21"/>
          <w:lang w:val="en-US" w:eastAsia="zh-CN"/>
        </w:rPr>
      </w:pPr>
      <w:r>
        <w:rPr>
          <w:rFonts w:hint="default" w:ascii="仿宋" w:hAnsi="仿宋" w:eastAsia="仿宋"/>
          <w:b w:val="0"/>
          <w:bCs w:val="0"/>
          <w:sz w:val="21"/>
          <w:szCs w:val="21"/>
          <w:lang w:val="en-US" w:eastAsia="zh-CN"/>
        </w:rPr>
        <w:t>　　现在在火星上我们采用的就是让车自己根据图像判断有路没路，如果有路就每隔1米左右作一次判断，然后向着地面给的目标前进。工作方式的一种改变也决定了我们可以走的一次更长。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default" w:ascii="仿宋" w:hAnsi="仿宋" w:eastAsia="仿宋"/>
          <w:b/>
          <w:bCs/>
          <w:sz w:val="28"/>
          <w:szCs w:val="28"/>
          <w:lang w:val="en-US" w:eastAsia="zh-CN"/>
        </w:rPr>
      </w:pPr>
      <w:r>
        <w:rPr>
          <w:rFonts w:hint="default" w:ascii="仿宋" w:hAnsi="仿宋" w:eastAsia="仿宋"/>
          <w:b w:val="0"/>
          <w:bCs w:val="0"/>
          <w:sz w:val="21"/>
          <w:szCs w:val="21"/>
          <w:lang w:val="en-US" w:eastAsia="zh-CN"/>
        </w:rPr>
        <w:t>这样一来，能力更强、更加自主和智能的“祝融号”火星车行驶速度相对于玉兔二号更快一些，每天大约能够行驶18米。截至目前，“祝融号”火星车已在火星表面工作42个火星日，累计行驶236米。</w:t>
      </w:r>
    </w:p>
    <w:p>
      <w:pPr>
        <w:numPr>
          <w:ilvl w:val="0"/>
          <w:numId w:val="2"/>
        </w:numPr>
        <w:spacing w:line="360" w:lineRule="auto"/>
        <w:outlineLvl w:val="2"/>
        <w:rPr>
          <w:rFonts w:hint="eastAsia"/>
          <w:b/>
          <w:bCs/>
          <w:sz w:val="28"/>
          <w:szCs w:val="28"/>
        </w:rPr>
      </w:pPr>
      <w:r>
        <w:rPr>
          <w:rFonts w:hint="eastAsia" w:ascii="仿宋" w:hAnsi="仿宋" w:eastAsia="仿宋" w:cs="仿宋"/>
          <w:b/>
          <w:bCs/>
          <w:sz w:val="28"/>
          <w:szCs w:val="28"/>
        </w:rPr>
        <w:t>金沙江白鹤滩水电站首批机组正式投产发电</w:t>
      </w:r>
    </w:p>
    <w:p>
      <w:pPr>
        <w:spacing w:line="360" w:lineRule="auto"/>
        <w:ind w:firstLine="480" w:firstLineChars="200"/>
        <w:rPr>
          <w:rFonts w:hint="eastAsia" w:ascii="仿宋" w:hAnsi="仿宋" w:eastAsia="仿宋" w:cs="仿宋"/>
          <w:sz w:val="21"/>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3022600</wp:posOffset>
            </wp:positionH>
            <wp:positionV relativeFrom="paragraph">
              <wp:posOffset>87630</wp:posOffset>
            </wp:positionV>
            <wp:extent cx="2242185" cy="1534795"/>
            <wp:effectExtent l="0" t="0" r="5715" b="8255"/>
            <wp:wrapSquare wrapText="bothSides"/>
            <wp:docPr id="1031" name="图片 24" descr="IMG_256"/>
            <wp:cNvGraphicFramePr/>
            <a:graphic xmlns:a="http://schemas.openxmlformats.org/drawingml/2006/main">
              <a:graphicData uri="http://schemas.openxmlformats.org/drawingml/2006/picture">
                <pic:pic xmlns:pic="http://schemas.openxmlformats.org/drawingml/2006/picture">
                  <pic:nvPicPr>
                    <pic:cNvPr id="1031" name="图片 24" descr="IMG_256"/>
                    <pic:cNvPicPr/>
                  </pic:nvPicPr>
                  <pic:blipFill>
                    <a:blip r:embed="rId12" cstate="print"/>
                    <a:srcRect/>
                    <a:stretch>
                      <a:fillRect/>
                    </a:stretch>
                  </pic:blipFill>
                  <pic:spPr>
                    <a:xfrm>
                      <a:off x="0" y="0"/>
                      <a:ext cx="2242184" cy="1534795"/>
                    </a:xfrm>
                    <a:prstGeom prst="rect">
                      <a:avLst/>
                    </a:prstGeom>
                    <a:ln>
                      <a:noFill/>
                    </a:ln>
                  </pic:spPr>
                </pic:pic>
              </a:graphicData>
            </a:graphic>
          </wp:anchor>
        </w:drawing>
      </w:r>
      <w:r>
        <w:rPr>
          <w:rFonts w:hint="eastAsia" w:ascii="仿宋" w:hAnsi="仿宋" w:eastAsia="仿宋" w:cs="仿宋"/>
          <w:sz w:val="21"/>
          <w:szCs w:val="21"/>
          <w:lang w:val="en-US" w:eastAsia="zh-CN"/>
        </w:rPr>
        <w:t>6月28日</w:t>
      </w:r>
      <w:r>
        <w:rPr>
          <w:rFonts w:hint="eastAsia" w:ascii="仿宋" w:hAnsi="仿宋" w:eastAsia="仿宋" w:cs="仿宋"/>
          <w:sz w:val="21"/>
          <w:szCs w:val="21"/>
        </w:rPr>
        <w:t>上午，在建规模全球第一、单机容量世界第一、装机规模全球第二大水电站——金沙江白鹤滩水电站首批机组正式投产发电。</w:t>
      </w:r>
    </w:p>
    <w:p>
      <w:pPr>
        <w:spacing w:line="360" w:lineRule="auto"/>
        <w:rPr>
          <w:rFonts w:hint="eastAsia" w:ascii="仿宋" w:hAnsi="仿宋" w:eastAsia="仿宋" w:cs="仿宋"/>
          <w:sz w:val="21"/>
          <w:szCs w:val="21"/>
        </w:rPr>
      </w:pPr>
      <w:r>
        <w:rPr>
          <w:rFonts w:hint="eastAsia" w:ascii="仿宋" w:hAnsi="仿宋" w:eastAsia="仿宋" w:cs="仿宋"/>
          <w:sz w:val="21"/>
          <w:szCs w:val="21"/>
        </w:rPr>
        <w:t>　　白鹤滩水电站位于四川省凉山州宁南县和云南省昭通市巧家县境内，是中国三峡集团在金沙江下游投资建设的四座梯级电站中的第二级，是当今世界在建规模最大、技术难度最高的水电工程，是我国实施“西电东送”、构建清洁低碳安全高效能源体系的国家重大工程，是新时代推进西部大开发形成新格局、全面建成小康社会的标志性工程。</w:t>
      </w:r>
    </w:p>
    <w:p>
      <w:pPr>
        <w:spacing w:line="360" w:lineRule="auto"/>
        <w:rPr>
          <w:rFonts w:hint="eastAsia" w:ascii="仿宋" w:hAnsi="仿宋" w:eastAsia="仿宋" w:cs="仿宋"/>
          <w:sz w:val="21"/>
          <w:szCs w:val="21"/>
        </w:rPr>
      </w:pPr>
      <w:r>
        <w:rPr>
          <w:rFonts w:hint="eastAsia" w:ascii="仿宋" w:hAnsi="仿宋" w:eastAsia="仿宋" w:cs="仿宋"/>
          <w:sz w:val="21"/>
          <w:szCs w:val="21"/>
        </w:rPr>
        <w:t>　　白鹤滩水电站枢纽工程由拦河坝、泄洪消能设施、引水发电系统等主要建筑物组成。水库正常蓄水位825米，总库容206.27亿立方米，防洪库容75亿立方米，是长江防洪体系的重要组成部分。白鹤滩水电站是党的十八以来核准并开工建设的千万千瓦级巨型水电工程，于2017年8月主体工程全面建设，2021年4月下闸蓄水，2021年5月大坝全线浇筑到顶。</w:t>
      </w:r>
    </w:p>
    <w:p>
      <w:pPr>
        <w:spacing w:line="360" w:lineRule="auto"/>
        <w:rPr>
          <w:rFonts w:hint="eastAsia" w:ascii="仿宋" w:hAnsi="仿宋" w:eastAsia="仿宋" w:cs="仿宋"/>
          <w:sz w:val="21"/>
          <w:szCs w:val="21"/>
        </w:rPr>
      </w:pPr>
      <w:r>
        <w:rPr>
          <w:rFonts w:hint="eastAsia" w:ascii="仿宋" w:hAnsi="仿宋" w:eastAsia="仿宋" w:cs="仿宋"/>
          <w:sz w:val="21"/>
          <w:szCs w:val="21"/>
        </w:rPr>
        <w:t>　　白鹤滩水电站工程规模巨大，地质条件复杂，地处金沙江干热河谷地带，综合技术难度位居世界第一，主要技术指标6项世界第一：水轮发电机单机容量为100万千瓦世界第一；地下洞室群规模世界第一；圆筒式尾水调压室规模世界第一；300米级高拱坝抗震参数世界第一；无压泄洪洞群规模世界第一。首次全坝使用低热水泥混凝土。</w:t>
      </w:r>
    </w:p>
    <w:p>
      <w:pPr>
        <w:spacing w:line="360" w:lineRule="auto"/>
        <w:rPr>
          <w:rFonts w:hint="eastAsia" w:ascii="仿宋" w:hAnsi="仿宋" w:eastAsia="仿宋" w:cs="仿宋"/>
          <w:sz w:val="21"/>
          <w:szCs w:val="21"/>
        </w:rPr>
      </w:pPr>
      <w:r>
        <w:rPr>
          <w:rFonts w:hint="eastAsia" w:ascii="仿宋" w:hAnsi="仿宋" w:eastAsia="仿宋" w:cs="仿宋"/>
          <w:sz w:val="21"/>
          <w:szCs w:val="21"/>
        </w:rPr>
        <w:t>　　白鹤滩水电站总装机容量1600万千瓦，仅次于三峡工程，位居世界第二；单机容量100万千瓦，位居世界第一。多年平均发电量624.43亿千瓦时，电力主要输送江苏、浙江，助力长江三角洲经济发展。白鹤滩水电站投产发电后，将与三峡工程、葛洲坝工程，以及金沙江乌东德、溪洛渡、向家坝水电站一起，构成世界最大的清洁能源走廊，对改善能源结构、助推“碳达峰、碳中和”目标实现具有重要意义，是中国三峡集团立足新发展阶段、贯彻新发展理念、构建新发展格局，为共和国打造的又一大国重器。</w:t>
      </w:r>
    </w:p>
    <w:p>
      <w:pPr>
        <w:spacing w:line="360" w:lineRule="auto"/>
        <w:rPr>
          <w:rFonts w:hint="eastAsia" w:ascii="仿宋" w:hAnsi="仿宋" w:eastAsia="仿宋" w:cs="仿宋"/>
          <w:sz w:val="21"/>
          <w:szCs w:val="21"/>
        </w:rPr>
      </w:pPr>
      <w:r>
        <w:rPr>
          <w:rFonts w:hint="eastAsia" w:ascii="仿宋" w:hAnsi="仿宋" w:eastAsia="仿宋" w:cs="仿宋"/>
          <w:sz w:val="21"/>
          <w:szCs w:val="21"/>
        </w:rPr>
        <w:t>　　白鹤滩水电站建成投产后，每年可节约标煤约1968万吨，减少排放二氧化碳5160万吨、二氧化硫17万吨、氮氧化物约15万吨，节能减排效益显著。</w:t>
      </w:r>
    </w:p>
    <w:p>
      <w:pPr>
        <w:spacing w:line="360" w:lineRule="auto"/>
        <w:rPr>
          <w:rFonts w:hint="eastAsia" w:ascii="仿宋" w:hAnsi="仿宋" w:eastAsia="仿宋" w:cs="仿宋"/>
          <w:sz w:val="21"/>
          <w:szCs w:val="21"/>
        </w:rPr>
      </w:pPr>
      <w:r>
        <w:rPr>
          <w:rFonts w:hint="eastAsia" w:ascii="仿宋" w:hAnsi="仿宋" w:eastAsia="仿宋" w:cs="仿宋"/>
          <w:sz w:val="21"/>
          <w:szCs w:val="21"/>
        </w:rPr>
        <w:t>　　白鹤滩水电站建设运行可拉动区域经济发展，增加就业机会和当地税收，改善电站周边地区交通运输、通讯等基础设施条件，提高库区群众生活水平，惠泽川滇两省10万移民，助力乡村振兴。</w:t>
      </w:r>
    </w:p>
    <w:p>
      <w:pPr>
        <w:spacing w:line="360" w:lineRule="auto"/>
        <w:ind w:firstLine="420"/>
        <w:rPr>
          <w:rFonts w:hint="eastAsia" w:ascii="仿宋" w:hAnsi="仿宋" w:eastAsia="仿宋" w:cs="仿宋"/>
          <w:sz w:val="21"/>
          <w:szCs w:val="21"/>
        </w:rPr>
      </w:pPr>
      <w:r>
        <w:rPr>
          <w:rFonts w:hint="eastAsia" w:ascii="仿宋" w:hAnsi="仿宋" w:eastAsia="仿宋" w:cs="仿宋"/>
          <w:sz w:val="21"/>
          <w:szCs w:val="21"/>
        </w:rPr>
        <w:t>白鹤滩水电站计划于2022年7月实现全部机组投产发电。目前，白鹤滩工程建设者按照“精品工程”标准扎实有序推进后续工程建设和剩余机组安装调试工作。</w:t>
      </w: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rPr>
          <w:rFonts w:hint="eastAsia" w:ascii="仿宋" w:hAnsi="仿宋" w:eastAsia="仿宋" w:cs="仿宋"/>
          <w:sz w:val="21"/>
          <w:szCs w:val="21"/>
        </w:rPr>
      </w:pPr>
    </w:p>
    <w:p>
      <w:pPr>
        <w:spacing w:line="360" w:lineRule="auto"/>
        <w:ind w:firstLine="420" w:firstLineChars="200"/>
        <w:rPr>
          <w:rFonts w:ascii="仿宋" w:hAnsi="仿宋" w:eastAsia="仿宋"/>
          <w:sz w:val="21"/>
          <w:szCs w:val="21"/>
        </w:rPr>
      </w:pPr>
    </w:p>
    <w:p>
      <w:pPr>
        <w:spacing w:line="360" w:lineRule="auto"/>
        <w:ind w:firstLine="198"/>
        <w:jc w:val="center"/>
        <w:outlineLvl w:val="1"/>
        <w:rPr>
          <w:rFonts w:hint="eastAsia" w:ascii="仿宋" w:hAnsi="仿宋" w:eastAsia="仿宋"/>
          <w:b/>
          <w:bCs/>
          <w:sz w:val="48"/>
          <w:szCs w:val="48"/>
        </w:rPr>
      </w:pPr>
      <w:r>
        <w:rPr>
          <w:rFonts w:hint="eastAsia" w:ascii="仿宋" w:hAnsi="仿宋" w:eastAsia="仿宋"/>
          <w:b/>
          <w:bCs/>
          <w:sz w:val="48"/>
          <w:szCs w:val="48"/>
        </w:rPr>
        <w:t>国外新闻</w:t>
      </w:r>
    </w:p>
    <w:p>
      <w:pPr>
        <w:spacing w:line="360" w:lineRule="auto"/>
        <w:outlineLvl w:val="2"/>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“德尔塔”肆虐全球85个国家和地区，中国应对已“取得阶段性成绩”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sz w:val="21"/>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2978150</wp:posOffset>
            </wp:positionH>
            <wp:positionV relativeFrom="paragraph">
              <wp:posOffset>33020</wp:posOffset>
            </wp:positionV>
            <wp:extent cx="2242820" cy="1842770"/>
            <wp:effectExtent l="0" t="0" r="5080" b="5080"/>
            <wp:wrapSquare wrapText="bothSides"/>
            <wp:docPr id="1032" name="图片 26" descr="IMG_256"/>
            <wp:cNvGraphicFramePr/>
            <a:graphic xmlns:a="http://schemas.openxmlformats.org/drawingml/2006/main">
              <a:graphicData uri="http://schemas.openxmlformats.org/drawingml/2006/picture">
                <pic:pic xmlns:pic="http://schemas.openxmlformats.org/drawingml/2006/picture">
                  <pic:nvPicPr>
                    <pic:cNvPr id="1032" name="图片 26" descr="IMG_256"/>
                    <pic:cNvPicPr/>
                  </pic:nvPicPr>
                  <pic:blipFill>
                    <a:blip r:embed="rId13" cstate="print"/>
                    <a:srcRect/>
                    <a:stretch>
                      <a:fillRect/>
                    </a:stretch>
                  </pic:blipFill>
                  <pic:spPr>
                    <a:xfrm>
                      <a:off x="0" y="0"/>
                      <a:ext cx="2242820" cy="1842770"/>
                    </a:xfrm>
                    <a:prstGeom prst="rect">
                      <a:avLst/>
                    </a:prstGeom>
                    <a:ln>
                      <a:noFill/>
                    </a:ln>
                  </pic:spPr>
                </pic:pic>
              </a:graphicData>
            </a:graphic>
          </wp:anchor>
        </w:drawing>
      </w:r>
      <w:r>
        <w:rPr>
          <w:rFonts w:hint="eastAsia" w:ascii="仿宋" w:hAnsi="仿宋" w:eastAsia="仿宋" w:cs="仿宋"/>
          <w:b w:val="0"/>
          <w:bCs w:val="0"/>
          <w:sz w:val="21"/>
          <w:szCs w:val="21"/>
        </w:rPr>
        <w:t>【环球时报驻南非 德国特派特约记者邹松 青木 任重 柳玉鹏】“德尔塔毒株从新德里迅速传播开来，现在看来它将席卷全球，这可能是一场毁灭性的新浪潮。”美国《科学》杂志26日发出这样的警告。在澳大利亚最大城市悉尼，人们迎来全面“封城”；在英国，单日新增确诊病例迎来4个多月的新高……根据世界卫生组织的最新研究，德尔塔是所有新冠病毒变异株中传染性最强的，目前已传到至少85个国家和地区，并在未接种疫苗群体中快速传播。“德尔塔变异病毒导致新一轮闭关封城。”有媒体称。孟加拉国28日起全国“封城”，以色列重新执行戴口罩令，在肯尼亚、乌干达、卢旺达等国，“封城”“宵禁”成为媒体上的热门词汇。新冠疫情大流行已持续一年多，人们在展望大流行后的生活，德尔塔却给全球恢复正常带来更多不确定性。不过，也有一些国家如西班牙、葡萄牙等正在放宽限制措施，冰岛更是成为欧洲第一个取消所有内部限制的国家。无论哪种情况，都凸显加快接种疫苗的迫切性。但那些因富裕国家抢囤疫苗而两手空空的发展中国家该怎么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图片说明：当地时间26日，英国伦敦爆发反对疫苗和封锁的大游行。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bCs/>
          <w:sz w:val="21"/>
          <w:szCs w:val="21"/>
        </w:rPr>
        <w:t>从悉尼“封城”到南非总统电视讲话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数百万悉尼人一觉醒来，懵对封城。”法新社27日称，随着澳大利亚尝试遏制德尔塔变异毒株蔓延，悉尼居民当天开始面对完全封锁的第一天。中心社区“居家令”带来的餐厅、酒吧、咖啡馆关闭，已扩大到整座城市及周边的海滨和山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27日，澳新南威尔士州政府举行发布会公布称，在前一个统计日，该州新增确诊病例32例，其中本土病例30例。该州州长贝雷吉克利安说，由于恶化程度超出预料，政府不得不做出决定，而且短期封锁“行不通”。目前，大悉尼东部地区的社区感染病例已升至110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悉尼最近的疫情，源于6月中旬一名运送国际航班空勤人员的机场司机感染德尔塔病毒。最初封锁令仅在悉尼商业区和东部郊区实施，随着其他地区病例持续增加，当局26日晚采取更严厉的举措。新的封锁令要求悉尼人至少在家待两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相比澳大利亚，英国情况更严重。英国26日公布的数据显示，单日新增确诊18270例，为2月初以来单日新高。英国每百万人口的感染比例也超过美国和印度，居全球首位。27日的新增病例为14876例。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纽约时报》27日称，这引发对英国能否于下个月如期解除防疫封锁措施的质疑，此前约翰逊政府已将“解封”时间由6月21日推迟到7月19日。26日，伦敦还爆发反疫苗、反封锁大游行，有媒体估测称，人数达上万甚至几十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过去一周，英国有将近10万人病毒检测呈阳性，较前一周增加约50%。英国官员称，如今英国境内几乎全部新增病例都与德尔塔有关。据报道，英国将近2/3的人口已接种至少一剂疫苗，大部分新确诊病例是未打疫苗的年轻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在南非，27日晚，总统拉马福萨将就在第三波新冠疫情中占主导地位的德尔塔毒株发表电视讲话。南非代理卫生部长恩古巴内已宣布，德尔塔变异毒株是导致南非新增病例激增的主要原因。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南非是非洲大陆受新冠疫情影响最严重的国家之一。到目前为止，南非6000万人口中，只有270万人接种了疫苗。《环球时报》记者在约翰内斯堡工作，一个突出感受是——“身边多名华人朋友中招”，而且中青年不少，其中有些还是打了疫苗的。记者熟知的一个当地华人家庭，上中学的孩子在学校感染新冠病毒，传染给父母，父亲竟病重去世。</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仿宋" w:hAnsi="仿宋" w:eastAsia="仿宋" w:cs="仿宋"/>
          <w:b/>
          <w:bCs/>
          <w:sz w:val="21"/>
          <w:szCs w:val="21"/>
        </w:rPr>
      </w:pPr>
      <w:r>
        <w:rPr>
          <w:rFonts w:hint="eastAsia" w:ascii="仿宋" w:hAnsi="仿宋" w:eastAsia="仿宋" w:cs="仿宋"/>
          <w:b/>
          <w:bCs/>
          <w:sz w:val="21"/>
          <w:szCs w:val="21"/>
        </w:rPr>
        <w:t>“必须接种疫苗，没有其他出路”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在世卫组织（WHO）25日举行的记者会上，WHO总干事谭德塞表示，最先在印度发现的德尔塔变异毒株已成为迄今所发现的病毒中传染力最强的变异毒株。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欧洲害怕德尔塔病毒潮来袭！”德国电视一台27日称，根据葡萄牙26日公布的数据，过去24小时有1556例新感染病例，为2月以来最高。在里斯本，70%以上的病例是德尔塔变异株造成的。截至6月21日，意大利感染德尔塔病毒的病例占比从5月的4.2%攀升至16.8%。</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俄罗斯也是重灾区。据俄《生意人报》报道， 26日公布的数据显示，圣彼得堡过去 24 小时新冠死亡病例达107人，为疫情暴发以来单日最高；全俄死亡病例619人，为去年12月以来最高。27日，俄罗斯新增确诊20538例，新增死亡599 例，其中莫斯科114人死亡，为整个大流行期间的最高值，圣彼得堡106人死亡。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莫斯科市长索比亚宁表示，由于德尔塔毒株，该市正在重新经历疫情大流行。“抵御德尔塔毒株所需的抗体量是此前毒株的两倍，接种疫苗是最有效方法，其余措施只能暂时解决问题。要想过上正常生活，必须接种疫苗，没有其他出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有报道称，多项研究显示，完成接种两剂疫苗才能有效预防德尔塔毒株。专家认为，至少80%人口接种疫苗才能形成群体免疫。“与德尔塔变异毒株竞赛，德国将加快疫苗接种速度。”路透社称，从周一起，德国民众只要经过市中心或宗教场所的疫苗接种站就能打疫苗，希望尽快达到8成接种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在德尔塔病毒已几乎扩散至全境的美国，疾控中心呼吁尚未完成疫苗接种的人赶紧接种第二剂。一些专家称，一剂式疫苗如强生疫苗应对该病毒的效力不足。美国正将重点放在年轻人身上，鼓励接种率只有老年人一半的年轻人接种疫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德国还把俄葡列为变异毒株传播高风险地区，对前往和来自这两国的旅行进行严格限制。新西兰26日决定暂停与澳全境的“旅行气泡”。在疫苗接种率排在世界前列的以色列，以总理27日呼吁年轻人尽快打疫苗，政府还任命一名专责边境通道尤其是主要国际机场的特别主管。以色列已连续6天新增确诊病例上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东京奥运会也受到影响。据日本媒体27日报道，针对来自印度、斯里兰卡、尼泊尔、巴基斯坦、马尔代夫和阿富汗6个德尔塔变异毒株流行国家的选手，日本要求其在出境本国前7天，必须每天进行病毒检测。相关规定自7月1日起正式实施。</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仿宋" w:hAnsi="仿宋" w:eastAsia="仿宋" w:cs="仿宋"/>
          <w:b/>
          <w:bCs/>
          <w:sz w:val="21"/>
          <w:szCs w:val="21"/>
        </w:rPr>
      </w:pPr>
      <w:r>
        <w:rPr>
          <w:rFonts w:hint="eastAsia" w:ascii="仿宋" w:hAnsi="仿宋" w:eastAsia="仿宋" w:cs="仿宋"/>
          <w:b/>
          <w:bCs/>
          <w:sz w:val="21"/>
          <w:szCs w:val="21"/>
        </w:rPr>
        <w:t>中国“取得阶段性成绩”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值得注意的是，德尔塔进一步变异的毒株也开始蔓延，研究人员在美国、英国、印度、加拿大等至少11国发现“德尔塔+”。塔斯社27日称，WHO驻俄罗斯代表乌伊诺维奇表示，在“德尔塔+”传播的情况下，需采取紧急措施，接种疫苗和继续戴口罩，否则只能“封城”。不过，印度方面称，现在对“德尔塔+”的危险性下结论为时尚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德尔塔来势汹汹，但从全球范围看，疫情在缓和。根据WHO的报告，当下全球新增病例数为2月以来最低，因新冠病毒而死亡的病例数也在减少。随着大规模疫苗接种运动的继续，一些国家正在放宽限制。26日，西班牙结束强制户外戴口罩的规定。荷兰也取消类似规定，并放宽室内用餐限制。冰岛从26日起成为欧洲第一个“零限制”的国家，所有防疫要求都被取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疫苗分配依然是个难题。谭德塞近日称，根据一个为分配疫苗而召开的咨询会议的结论，由于贫穷国家缺乏疫苗，导致德尔塔变异病毒传播加速，而这又带来病毒再次变异的危机。他表示，穷国没有疫苗可用，根本原因在于富裕国家拒绝分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非洲遭病毒破坏最严重的国家缺少疫苗。”美国彭博社26日称，纳米比亚从29日起暂停接种第一剂疫苗，以便将为数不多的疫苗留给需要接种第二剂的人。截至25日，过去24小时纳米比亚检测4350个样本，报告2428例确诊病例，阳性率接近56%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过去一个月，中国也在同德尔塔 “交手”。中国工程院院士钟南山近日接受采访时说，广州疫情是中国首次应对德尔塔毒株带来的社区传播，目前已经取得阶段性成绩，但其他地区也需要提前做好防范。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钟南山的话引起不少外媒关注。路透社26日称，钟南山说，对于入境人员，不需要再增加隔离时间，加强对这些人员在隔离时间内的核酸检测频度才是有效办法。据彭博社报道，钟南山提到，完整接种疫苗的密接者中，没有患者转为重症和危重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新加坡《联合早报》27日称， 目前正在全球范围内蔓延流行的德尔塔变异毒株，近来在广东多地引发本土疫情。钟南山表示，中国国产疫苗对德尔塔变异株还是有效的，大家应该打，加快“应接尽接”的步伐。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在已有德尔塔病毒感染病例的中国台湾，有媒体称，大陆传染病专家特别警告，以往的密切接触者概念已经不适用。台湾《联合报》27日称，中国专家认为，除严格遵守群防群控措施外，尽快推广疫苗接种，建立免疫屏障迫在眉睫。</w:t>
      </w:r>
    </w:p>
    <w:p>
      <w:pPr>
        <w:numPr>
          <w:ilvl w:val="0"/>
          <w:numId w:val="3"/>
        </w:numPr>
        <w:spacing w:line="360" w:lineRule="auto"/>
        <w:outlineLvl w:val="2"/>
        <w:rPr>
          <w:rFonts w:hint="eastAsia" w:ascii="仿宋" w:hAnsi="仿宋" w:eastAsia="仿宋"/>
          <w:b/>
          <w:bCs/>
          <w:sz w:val="28"/>
          <w:szCs w:val="28"/>
        </w:rPr>
      </w:pPr>
      <w:r>
        <w:rPr>
          <w:rFonts w:hint="eastAsia" w:ascii="仿宋" w:hAnsi="仿宋" w:eastAsia="仿宋"/>
          <w:b/>
          <w:bCs/>
          <w:sz w:val="28"/>
          <w:szCs w:val="28"/>
        </w:rPr>
        <w:t>破43℃！美国向西部超2000万居民发布高温警告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ascii="仿宋" w:hAnsi="仿宋" w:eastAsia="仿宋" w:cs="仿宋"/>
          <w:b w:val="0"/>
          <w:bCs w:val="0"/>
          <w:sz w:val="21"/>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2658745</wp:posOffset>
            </wp:positionH>
            <wp:positionV relativeFrom="paragraph">
              <wp:posOffset>71755</wp:posOffset>
            </wp:positionV>
            <wp:extent cx="2666365" cy="1896110"/>
            <wp:effectExtent l="0" t="0" r="635" b="8890"/>
            <wp:wrapSquare wrapText="bothSides"/>
            <wp:docPr id="1033" name="图片 30" descr="IMG_256"/>
            <wp:cNvGraphicFramePr/>
            <a:graphic xmlns:a="http://schemas.openxmlformats.org/drawingml/2006/main">
              <a:graphicData uri="http://schemas.openxmlformats.org/drawingml/2006/picture">
                <pic:pic xmlns:pic="http://schemas.openxmlformats.org/drawingml/2006/picture">
                  <pic:nvPicPr>
                    <pic:cNvPr id="1033" name="图片 30" descr="IMG_256"/>
                    <pic:cNvPicPr/>
                  </pic:nvPicPr>
                  <pic:blipFill>
                    <a:blip r:embed="rId14" cstate="print"/>
                    <a:srcRect/>
                    <a:stretch>
                      <a:fillRect/>
                    </a:stretch>
                  </pic:blipFill>
                  <pic:spPr>
                    <a:xfrm>
                      <a:off x="0" y="0"/>
                      <a:ext cx="2666365" cy="1896109"/>
                    </a:xfrm>
                    <a:prstGeom prst="rect">
                      <a:avLst/>
                    </a:prstGeom>
                    <a:ln>
                      <a:noFill/>
                    </a:ln>
                  </pic:spPr>
                </pic:pic>
              </a:graphicData>
            </a:graphic>
          </wp:anchor>
        </w:drawing>
      </w:r>
      <w:r>
        <w:rPr>
          <w:rFonts w:hint="eastAsia" w:ascii="仿宋" w:hAnsi="仿宋" w:eastAsia="仿宋" w:cs="仿宋"/>
          <w:b w:val="0"/>
          <w:bCs w:val="0"/>
          <w:sz w:val="21"/>
          <w:szCs w:val="21"/>
        </w:rPr>
        <w:t>进入6月以来，美国西部出现大范围、高强度和长时间的高温天气，干旱少雨。目前，美国政府已向西部超过2000万居民发布了高温警告。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当地时间27日，美国俄勒冈州波特兰市通报了破纪录的43℃高温，打破1981年创下的高温纪录。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在美国西海岸，从加拿大边境到墨西哥边境，美国政府向超过2000万居民发布了高温警告。未来几天，美国西北部地区将继续经受前所未有的危险高温天气，大部分地区的最高气温将超过40℃。官方警告称，长时间的高温会显著增加相关疾病的发病率，提醒居民做好防暑降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美国干旱监测中心的数据显示，目前美国西部90%以上地区都处于历史性的、危及生命的干旱状态，超过5800万居民受到影响。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2"/>
        <w:rPr>
          <w:rFonts w:hint="eastAsia" w:ascii="仿宋" w:hAnsi="仿宋" w:eastAsia="仿宋" w:cs="仿宋"/>
          <w:b w:val="0"/>
          <w:bCs w:val="0"/>
          <w:sz w:val="21"/>
          <w:szCs w:val="21"/>
        </w:rPr>
      </w:pPr>
      <w:r>
        <w:rPr>
          <w:rFonts w:hint="eastAsia" w:ascii="仿宋" w:hAnsi="仿宋" w:eastAsia="仿宋" w:cs="仿宋"/>
          <w:b w:val="0"/>
          <w:bCs w:val="0"/>
          <w:sz w:val="21"/>
          <w:szCs w:val="21"/>
        </w:rPr>
        <w:t>持续的高温和干旱下，发生山林大火的风险也随之增加，美国多州已经宣布进入紧急状态。此外，美国西部地区还面临着供水问题。加利福尼亚州1500座重要水库的储水量比往年同期低一半；由于干旱，爱达荷州伍德河流域的农田灌溉被切断；犹他州则敦促居民和企业减少用水量。</w:t>
      </w:r>
    </w:p>
    <w:p>
      <w:pPr>
        <w:spacing w:line="360" w:lineRule="auto"/>
        <w:outlineLvl w:val="2"/>
        <w:rPr>
          <w:rFonts w:ascii="仿宋" w:hAnsi="仿宋" w:eastAsia="仿宋"/>
          <w:b/>
          <w:bCs/>
          <w:sz w:val="28"/>
          <w:szCs w:val="28"/>
        </w:rPr>
      </w:pPr>
      <w:r>
        <w:rPr>
          <w:rFonts w:ascii="仿宋" w:hAnsi="仿宋" w:eastAsia="仿宋"/>
          <w:b/>
          <w:bCs/>
          <w:sz w:val="28"/>
          <w:szCs w:val="28"/>
        </w:rPr>
        <w:t>3.</w:t>
      </w:r>
      <w:r>
        <w:rPr>
          <w:rFonts w:hint="eastAsia" w:ascii="仿宋" w:hAnsi="仿宋" w:eastAsia="仿宋"/>
          <w:b/>
          <w:bCs/>
          <w:sz w:val="28"/>
          <w:szCs w:val="28"/>
        </w:rPr>
        <w:t xml:space="preserve"> 德法联合提“俄欧峰会”倡议被否，俄罗斯议题搅动“分裂的欧洲”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1"/>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3108960</wp:posOffset>
            </wp:positionH>
            <wp:positionV relativeFrom="paragraph">
              <wp:posOffset>100965</wp:posOffset>
            </wp:positionV>
            <wp:extent cx="2133600" cy="1524635"/>
            <wp:effectExtent l="0" t="0" r="0" b="18415"/>
            <wp:wrapSquare wrapText="bothSides"/>
            <wp:docPr id="1034" name="图片 34" descr="IMG_256"/>
            <wp:cNvGraphicFramePr/>
            <a:graphic xmlns:a="http://schemas.openxmlformats.org/drawingml/2006/main">
              <a:graphicData uri="http://schemas.openxmlformats.org/drawingml/2006/picture">
                <pic:pic xmlns:pic="http://schemas.openxmlformats.org/drawingml/2006/picture">
                  <pic:nvPicPr>
                    <pic:cNvPr id="1034" name="图片 34" descr="IMG_256"/>
                    <pic:cNvPicPr/>
                  </pic:nvPicPr>
                  <pic:blipFill>
                    <a:blip r:embed="rId15" cstate="print"/>
                    <a:srcRect/>
                    <a:stretch>
                      <a:fillRect/>
                    </a:stretch>
                  </pic:blipFill>
                  <pic:spPr>
                    <a:xfrm>
                      <a:off x="0" y="0"/>
                      <a:ext cx="2133599" cy="1524635"/>
                    </a:xfrm>
                    <a:prstGeom prst="rect">
                      <a:avLst/>
                    </a:prstGeom>
                    <a:ln>
                      <a:noFill/>
                    </a:ln>
                  </pic:spPr>
                </pic:pic>
              </a:graphicData>
            </a:graphic>
          </wp:anchor>
        </w:drawing>
      </w:r>
      <w:r>
        <w:rPr>
          <w:rFonts w:hint="eastAsia" w:ascii="仿宋" w:hAnsi="仿宋" w:eastAsia="仿宋" w:cs="仿宋"/>
          <w:sz w:val="21"/>
          <w:szCs w:val="21"/>
        </w:rPr>
        <w:t>【环球时报综合报道】借着“普拜会”的举行，欧盟两个“重量级”成员德国和法国，在欧盟峰会上提出与俄罗斯总统普京举行领导人会晤的倡议，然而这一提议却遭遇极大阻力。德法的提议不乏支持者，但反对者的声音更响亮，有媒体形容称，会上的辩论“非常情绪化”。最终，不仅峰会提议被否决，欧盟领导人也回到“熟悉的位置”——准备新的对俄制裁措施。有分析称，这反映出欧盟内部裂痕之深，以及俄欧关系的复杂，要知道，上一次举行俄欧峰会还是7年多前。在欧盟被俄罗斯话题搅动时，另一个欧洲大国英国在黑海直接陷入与俄罗斯的对抗纠纷中。《华尔街日报》称，盟友的冷漠和英俄对峙，凸显美欧领导人在稳定与莫斯科关系上面临的困难。</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sz w:val="21"/>
          <w:szCs w:val="21"/>
        </w:rPr>
      </w:pPr>
      <w:r>
        <w:rPr>
          <w:rFonts w:hint="eastAsia" w:ascii="仿宋" w:hAnsi="仿宋" w:eastAsia="仿宋" w:cs="仿宋"/>
          <w:b/>
          <w:bCs/>
          <w:sz w:val="21"/>
          <w:szCs w:val="21"/>
        </w:rPr>
        <w:t>“默克尔以失败者身份离场”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大吵过后，默克尔以失败者身份离场。”德国《世界报》25日称，经过一个漫长的夜晚，欧盟峰会未能就与普京政府进行高层会谈达成一致意见——相反，欧盟正在探索新的对俄制裁方案。对于默克尔来说，这是她最后一次参加欧盟峰会，“并在一个她原本是明星的地方惨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峰会上，一些辩论非常情绪化，有相互指责以及“微妙”的威胁。“我们今天没能就（与俄罗斯）立即在管理层也就是最高层面会晤达成一致。”默克尔在当地时间25日凌晨2时30分表示。她补充说：“就我个人而言，我本来希望在这里迈出更勇敢的一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上周五，默克尔和来访的法国总统马克龙同意一项联合倡议，即所有欧盟国家政府与普京举行高层会谈。他们在本周三早上才将此事通知负责的大使。据美国彭博社25日报道，一名了解情况的外交官表示，有十几个成员国要么对该建议本身感到不安，要么对其在峰会最后时刻出现的方式感到不爽。而最终出炉的峰会结论除了否决欧俄峰会提议，还删除了与莫斯科在打击有组织犯罪方面合作的字句，取而代之的是同意“探索与俄罗斯对话的形式和条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法新社称，欧盟峰会最终通过的声明表示，欧盟对在其有利益的领域与俄建立“选择性关系”持开放态度，比如气候变化、伊朗核协议等。声明强调对莫斯科“有害、非法和破坏性”行动采取坚定和协调一致回应的必要性，并委托欧盟委员会研究额外的限制性措施选项，包括经济制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对此，德国电视一台25日评论说，欧盟峰会对莫斯科“没有爱的问候”，对德法来说，重新定义走向普京的道路是正确且迫切需要的——而且需要更大的勇气。文章称，有一点很清楚：躲在美国身后是不行的，欧盟需要自己的对俄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但波兰《共和国报》将此次峰会和德国的态度描述为“空话节”，称俄罗斯不是德国人的威胁，而是不可或缺的经济伙伴，难怪他们想通过廉价的天然气管道世世代代连接到俄罗斯。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sz w:val="21"/>
          <w:szCs w:val="21"/>
        </w:rPr>
      </w:pPr>
      <w:r>
        <w:rPr>
          <w:rFonts w:hint="eastAsia" w:ascii="仿宋" w:hAnsi="仿宋" w:eastAsia="仿宋" w:cs="仿宋"/>
          <w:b/>
          <w:bCs/>
          <w:sz w:val="21"/>
          <w:szCs w:val="21"/>
        </w:rPr>
        <w:t>谁支持，谁反对？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日内瓦峰会引起反响，”奥地利《新闻报》25日称，拜登和普京的日内瓦会晤在欧盟峰会上引发反弹。马克龙和默克尔希望乘胜追击，推动欧盟与俄罗斯对话，以便获得更多经济利益。另一方面，东欧国家早就担心拜登改变对俄强硬政策，这次他们明确了自己对美俄峰会的态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“德法提议与普京举行峰会惹恼波罗的海国家。”据英国《金融时报》25日报道，柏林和巴黎提出关于欧盟如何更好地与莫斯科接触的新建议，令其欧盟盟友意外。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上次我们都同意俄罗斯是一个巨大威胁。我想知道自那之后发生了什么，为什么现在摆在桌面上？”爱沙尼亚总理卡拉斯对默克尔说。拉脱维亚总理克里斯亚尼斯·卡林斯拒绝直接与普京交谈：“俄罗斯必须为对话付出一些代价，否则看起来俄罗斯吞并克里米亚，在顿巴斯开战，欧洲却耸耸肩，继续寻求对话。”立陶宛总统瑙塞达说，举行欧俄峰会的想法就像“试图与熊接触以保证一罐蜂蜜的安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德法并非孤立无援，希腊、塞浦路斯、意大利和奥地利等国支持与普京会晤。奥地利总理库尔茨说，不可能“仅限于我们坐下来观看拜登和普京讨论的内容”，欧盟在地理上更接近俄罗斯，“许多问题对我们的影响比美国更直接”。但荷兰、罗马尼亚等国也持反对意见。“我不会和普京坐在一起。”荷兰首相吕特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欧盟在俄罗斯问题上的团结不复存在。”美国政治新闻网评论称，这对欧盟来说是尴尬的一幕，欧俄深刻分歧突然出现在公众视野中。这是欧盟近年来分歧最大的峰会之一，有关俄罗斯的辩论以及关于匈牙利反同性恋立法的激烈讨论，暴露出东欧和西欧之间大致存在的深刻分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文章提到，欧盟峰会召开前一天，默克尔和马克龙几乎没有为推动对俄采取温和态度提供任何解释或理由，二人出人意料的行动激怒了其他人。而最终结果对他们来说，就算不是彻头彻尾的羞辱，也是相当令人羞愧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莫斯科也感到遗憾。“我们收到消息说，在昨天的峰会上，一些国家反对这种对话。”俄总统新闻秘书佩斯科夫25日说，“我们知道我们主要谈论的是所谓的年轻欧洲国家，它们是波罗的海国家、波兰。我再次重申，我们对此感到遗憾。”</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sz w:val="21"/>
          <w:szCs w:val="21"/>
        </w:rPr>
      </w:pPr>
      <w:r>
        <w:rPr>
          <w:rFonts w:hint="eastAsia" w:ascii="仿宋" w:hAnsi="仿宋" w:eastAsia="仿宋" w:cs="仿宋"/>
          <w:b/>
          <w:bCs/>
          <w:sz w:val="21"/>
          <w:szCs w:val="21"/>
        </w:rPr>
        <w:t>俄向英发出强硬宣言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在欧盟内部激烈争论时，俄罗斯在黑海驱逐英国军舰一事仍在发酵。“俄罗斯警告英国，下次将会轰炸军舰。”路透社、美联社等媒体都关注到莫斯科的强硬表态。俄副外长里亚布科夫24日说，俄可以诉诸常识并要求尊重国际法，如果这不起作用，“我们会用炸弹轰炸”，未来，俄罗斯的炸弹不仅会投向航道，还会轰炸目标。25日，他再度表示，俄将使用包括军事在内的一切手段捍卫自己的边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据英国《每日电讯报》报道，英国驱逐舰在黑海的航行路线由国防大臣华莱士提议，外交大臣拉布对该计划表示担忧。报道援引消息人士的话称，最终决定由首相约翰逊作出，并于21日传达给“保卫者”号。约翰逊24日称，英国海军在此次事件中捍卫了英国的价值观，但他拒绝对是否授权军舰进入克里米亚海域表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英国《每日星报》称，英国前三军总参谋长丹纳特认为，对于俄罗斯要轰炸英国军舰的威胁，必须认真对待。英国天空新闻外交事务编辑海恩斯表示，英国需要看清的一点是，无论是正常航行，还是去维护公海自由，英国的舰船一旦驶近克里米亚水域，就会触发争端。可以联想一下，比“保卫者”号更大规模的军事行动，比如驶向南海的英国“伊丽莎白”号航母，会引发怎样的事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25 日，俄海军地中海常态化战役编队与空天军航空兵开始在地中海东部开展联合军事演习。有分析称，俄罗斯一向有通过黑海在地中海地区投射力量的传统，这里也是上百年来俄与其对手如土耳其、法国、英国、美国的冲突爆发地。英俄对峙之际，欧盟正在讨论新的对俄战略，而28日开始的由美乌牵头的黑海军演，有10个欧盟国家及英国参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仿宋" w:hAnsi="仿宋" w:eastAsia="仿宋"/>
          <w:b/>
          <w:sz w:val="36"/>
          <w:szCs w:val="36"/>
        </w:rPr>
      </w:pPr>
      <w:r>
        <w:rPr>
          <w:rFonts w:hint="eastAsia" w:ascii="仿宋" w:hAnsi="仿宋" w:eastAsia="仿宋" w:cs="仿宋"/>
          <w:sz w:val="21"/>
          <w:szCs w:val="21"/>
        </w:rPr>
        <w:t>CNN25日称，无论是英国的朋友还是对手，都在密切观察这次的英俄对抗。专家认为，重要的不是一个特殊之地发生了什么，而是谁在观察及他们从中得出的结论。接下来几天，随着年度演习的展开，俄罗斯的眼睛将会紧盯它们派出的30多艘舰艇。</w:t>
      </w:r>
      <w:r>
        <w:rPr>
          <w:rFonts w:ascii="仿宋" w:hAnsi="仿宋" w:eastAsia="仿宋"/>
          <w:sz w:val="21"/>
          <w:szCs w:val="21"/>
        </w:rPr>
        <w:br w:type="page"/>
      </w:r>
      <w:r>
        <w:rPr>
          <w:rFonts w:ascii="仿宋" w:hAnsi="仿宋" w:eastAsia="仿宋"/>
          <w:b/>
          <w:sz w:val="36"/>
          <w:szCs w:val="36"/>
        </w:rPr>
        <w:t>第三章重要讲话</w:t>
      </w:r>
    </w:p>
    <w:p>
      <w:pPr>
        <w:pStyle w:val="2"/>
        <w:widowControl/>
        <w:pBdr>
          <w:top w:val="none" w:color="auto" w:sz="0" w:space="0"/>
          <w:left w:val="none" w:color="auto" w:sz="0" w:space="0"/>
          <w:bottom w:val="none" w:color="auto" w:sz="0" w:space="0"/>
          <w:right w:val="none" w:color="auto" w:sz="0" w:space="0"/>
        </w:pBdr>
        <w:spacing w:beforeAutospacing="0" w:after="225" w:afterAutospacing="0" w:line="480" w:lineRule="atLeast"/>
        <w:ind w:left="0" w:right="0" w:firstLine="0"/>
        <w:jc w:val="center"/>
        <w:rPr>
          <w:rFonts w:hint="eastAsia" w:ascii="仿宋" w:hAnsi="仿宋" w:eastAsia="仿宋" w:cs="仿宋"/>
          <w:b/>
          <w:i w:val="0"/>
          <w:caps w:val="0"/>
          <w:color w:val="000000"/>
          <w:spacing w:val="0"/>
          <w:sz w:val="28"/>
          <w:szCs w:val="28"/>
          <w:u w:val="none"/>
        </w:rPr>
      </w:pPr>
      <w:r>
        <w:rPr>
          <w:rFonts w:hint="eastAsia" w:ascii="仿宋" w:hAnsi="仿宋" w:eastAsia="仿宋" w:cs="仿宋"/>
          <w:b/>
          <w:i w:val="0"/>
          <w:caps w:val="0"/>
          <w:color w:val="000000"/>
          <w:spacing w:val="0"/>
          <w:sz w:val="28"/>
          <w:szCs w:val="28"/>
          <w:u w:val="none"/>
        </w:rPr>
        <w:t>习近平：在“七一勋章”颁授仪式上的讲话</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同志们：</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今天，在庆祝中国共产党成立一百周年之际，我们在这里隆重举行仪式，将党内最高荣誉授予为党和人民作出杰出贡献的共产党员。</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首先，我代表党中央，向“七一勋章”获得者，表示热烈的祝贺！致以崇高的敬意！</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一百年来，我们党矢志践行初心使命，团结带领人民开辟了伟大道路、建立了伟大功业、铸就了伟大精神、积累了宝贵经验，在中华民族发展史和人类社会进步史上写下了壮丽篇章。</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一百年来，一代又一代中国共产党人，为赢得民族独立和人民解放、实现国家富强和人民幸福，前仆后继、浴血奋战，艰苦奋斗、无私奉献，谱写了气吞山河的英雄壮歌。</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今天受到表彰的“七一勋章”获得者，就是各条战线党员中的杰出代表。在他们身上，生动体现了中国共产党人坚定信念、践行宗旨、拼搏奉献、廉洁奉公的高尚品质和崇高精神。</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坚定信念，就是坚持不忘初心、不移其志，以坚忍执着的理想信念，以对党和人民的赤胆忠心，把对党和人民的忠诚和热爱牢记在心目中、落实在行动上，为党和人民事业奉献自己的一切乃至宝贵生命，为党的理想信念顽强奋斗、不懈奋斗。</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心中有信仰，脚下有力量。全党同志都要把对马克思主义的信仰、对中国特色社会主义的信念作为毕生追求，永远信党爱党为党，在各自岗位上顽强拼搏，不断把为崇高理想奋斗的实践推向前进。</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践行宗旨，就是对人民饱含深情，心中装着人民，工作为了人民，想群众之所想，急群众之所急，解群众之所难，密切联系群众，坚定依靠群众，一心一意为百姓造福，以为民造福的实际行动诠释了共产党人“我将无我、不负人民”的崇高情怀。</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江山就是人民，人民就是江山。全党同志都要坚持人民立场、人民至上，坚持不懈为群众办实事做好事，始终保持同人民群众的血肉联系。</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——拼搏奉献，就是把许党报国、履职尽责作为人生目标，不畏艰险、敢于牺牲，苦干实干、不屈不挠，充分展示了共产党人无私无畏的奉献精神和坚忍不拔的斗争精神。</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越是伟大的事业，越是充满挑战，越需要知重负重。全党同志都要保持“越是艰险越向前”的英雄气概，保持“敢教日月换新天”的昂扬斗志，埋头苦干、攻坚克难，努力创造无愧于党、无愧于人民、无愧于时代的业绩。</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——廉洁奉公，就是保持共产党人艰苦朴素、公而忘私的光荣传统，从不以功臣自居，不计较个人得失，不贪图享受，守纪律、讲规矩，生动体现了共产党人应有的道德风范。</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共产党人拥有人格力量，才能赢得民心。全党同志都要明大德、守公德、严私德，清清白白做人、干干净净做事，做到克己奉公、以俭修身，永葆清正廉洁的政治本色。</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caps w:val="0"/>
          <w:color w:val="000000"/>
          <w:spacing w:val="0"/>
          <w:sz w:val="21"/>
          <w:szCs w:val="21"/>
          <w:u w:val="none"/>
        </w:rPr>
      </w:pPr>
      <w:r>
        <w:rPr>
          <w:rFonts w:hint="eastAsia" w:ascii="仿宋" w:hAnsi="仿宋" w:eastAsia="仿宋" w:cs="仿宋"/>
          <w:b w:val="0"/>
          <w:i w:val="0"/>
          <w:caps w:val="0"/>
          <w:color w:val="000000"/>
          <w:spacing w:val="0"/>
          <w:sz w:val="21"/>
          <w:szCs w:val="21"/>
          <w:u w:val="none"/>
        </w:rPr>
        <w:t>　　“七一勋章”获得者都来自人民、植根人民，是立足本职、默默奉献的平凡英雄。他们的事迹可学可做，他们的精神可追可及。他们用行动证明，只要坚定理想信念、坚定奋斗意志、坚定恒心韧劲，平常时候看得出来、关键时刻站得出来、危难关头豁得出来，每名党员都能够在民族复兴的伟业中为党和人民建功立业！</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仿宋" w:hAnsi="仿宋" w:eastAsia="仿宋" w:cs="仿宋"/>
          <w:b w:val="0"/>
          <w:i w:val="0"/>
          <w:sz w:val="21"/>
          <w:szCs w:val="21"/>
        </w:rPr>
      </w:pPr>
      <w:r>
        <w:rPr>
          <w:rFonts w:hint="eastAsia" w:ascii="仿宋" w:hAnsi="仿宋" w:eastAsia="仿宋" w:cs="仿宋"/>
          <w:b w:val="0"/>
          <w:i w:val="0"/>
          <w:caps w:val="0"/>
          <w:color w:val="000000"/>
          <w:spacing w:val="0"/>
          <w:sz w:val="21"/>
          <w:szCs w:val="21"/>
          <w:u w:val="none"/>
        </w:rPr>
        <w:t>　　同志们！</w:t>
      </w:r>
    </w:p>
    <w:p>
      <w:pPr>
        <w:pStyle w:val="10"/>
        <w:widowControl/>
        <w:pBdr>
          <w:top w:val="none" w:color="auto" w:sz="0" w:space="0"/>
          <w:left w:val="none" w:color="auto" w:sz="0" w:space="0"/>
          <w:bottom w:val="none" w:color="auto" w:sz="0" w:space="0"/>
          <w:right w:val="none" w:color="auto" w:sz="0" w:space="0"/>
        </w:pBdr>
        <w:snapToGrid/>
        <w:spacing w:beforeAutospacing="0" w:after="302" w:afterAutospacing="0" w:line="360" w:lineRule="auto"/>
        <w:ind w:left="0" w:right="0"/>
        <w:jc w:val="left"/>
        <w:rPr>
          <w:rFonts w:hint="eastAsia" w:ascii="微软雅黑" w:hAnsi="微软雅黑" w:eastAsia="微软雅黑" w:cs="微软雅黑"/>
          <w:b w:val="0"/>
          <w:i w:val="0"/>
          <w:sz w:val="27"/>
          <w:szCs w:val="27"/>
        </w:rPr>
      </w:pPr>
      <w:r>
        <w:rPr>
          <w:rFonts w:hint="eastAsia" w:ascii="仿宋" w:hAnsi="仿宋" w:eastAsia="仿宋" w:cs="仿宋"/>
          <w:b w:val="0"/>
          <w:i w:val="0"/>
          <w:caps w:val="0"/>
          <w:color w:val="000000"/>
          <w:spacing w:val="0"/>
          <w:sz w:val="21"/>
          <w:szCs w:val="21"/>
          <w:u w:val="none"/>
        </w:rPr>
        <w:t>　　新时代是需要英雄并一定能够产生英雄的时代。中国共产党要始终成为时代先锋、民族脊梁，党员队伍必须过硬。希望受到表彰的同志珍惜荣誉、发扬成绩，争取更大光荣。各级党组织要从工作和生活上关心爱护功勋党员，大力宣传“七一勋章”获得者的感人事迹和崇高品德，在全党全社会形成崇尚先进、见贤思齐的浓厚氛围，激励广大党员、干部牢记党的性质宗旨，牢记党的初心使命，不懈奋斗，永远奋斗，在全面建设社会主义现代化国家新征程上，向着第二个百年奋斗目标、向着中华民族伟大复兴的中国梦奋勇前进！</w:t>
      </w:r>
    </w:p>
    <w:p>
      <w:pPr>
        <w:widowControl/>
        <w:pBdr>
          <w:top w:val="none" w:color="auto" w:sz="0" w:space="0"/>
          <w:left w:val="none" w:color="auto" w:sz="0" w:space="0"/>
          <w:bottom w:val="none" w:color="auto" w:sz="0" w:space="0"/>
          <w:right w:val="none" w:color="auto" w:sz="0" w:space="0"/>
        </w:pBdr>
        <w:spacing w:beforeAutospacing="0" w:after="300" w:afterAutospacing="0" w:line="378" w:lineRule="atLeast"/>
        <w:ind w:left="0" w:right="0" w:firstLine="0"/>
        <w:jc w:val="right"/>
        <w:rPr>
          <w:rFonts w:hint="eastAsia" w:ascii="宋体" w:hAnsi="宋体" w:eastAsia="宋体" w:cs="宋体"/>
          <w:b w:val="0"/>
          <w:i w:val="0"/>
          <w:caps w:val="0"/>
          <w:color w:val="000000"/>
          <w:spacing w:val="0"/>
          <w:sz w:val="21"/>
          <w:szCs w:val="21"/>
          <w:u w:val="none"/>
        </w:rPr>
      </w:pPr>
      <w:r>
        <w:rPr>
          <w:rFonts w:hint="eastAsia" w:ascii="仿宋" w:hAnsi="仿宋" w:eastAsia="仿宋" w:cs="仿宋"/>
          <w:b w:val="0"/>
          <w:i w:val="0"/>
          <w:caps w:val="0"/>
          <w:color w:val="000000"/>
          <w:spacing w:val="0"/>
          <w:kern w:val="0"/>
          <w:sz w:val="21"/>
          <w:szCs w:val="21"/>
          <w:u w:val="none"/>
          <w:lang w:val="en-US" w:eastAsia="zh-CN"/>
        </w:rPr>
        <w:t>来源：新华社 责编：王潇潇、于子青</w:t>
      </w:r>
    </w:p>
    <w:p>
      <w:pPr>
        <w:widowControl/>
        <w:jc w:val="left"/>
        <w:rPr>
          <w:rFonts w:ascii="仿宋" w:hAnsi="仿宋" w:eastAsia="仿宋"/>
          <w:color w:val="595959"/>
          <w:sz w:val="21"/>
          <w:szCs w:val="21"/>
        </w:rPr>
      </w:pPr>
      <w:r>
        <w:rPr>
          <w:rFonts w:ascii="仿宋" w:hAnsi="仿宋" w:eastAsia="仿宋"/>
          <w:color w:val="595959"/>
          <w:sz w:val="21"/>
          <w:szCs w:val="21"/>
        </w:rPr>
        <w:br w:type="page"/>
      </w:r>
    </w:p>
    <w:p>
      <w:pPr>
        <w:pStyle w:val="2"/>
        <w:widowControl/>
        <w:pBdr>
          <w:top w:val="none" w:color="auto" w:sz="0" w:space="0"/>
          <w:left w:val="none" w:color="auto" w:sz="0" w:space="0"/>
          <w:bottom w:val="none" w:color="auto" w:sz="0" w:space="0"/>
          <w:right w:val="none" w:color="auto" w:sz="0" w:space="0"/>
        </w:pBdr>
        <w:spacing w:beforeAutospacing="0" w:after="225" w:afterAutospacing="0" w:line="480" w:lineRule="atLeast"/>
        <w:ind w:left="0" w:right="0" w:firstLine="0"/>
        <w:jc w:val="center"/>
        <w:rPr>
          <w:rFonts w:hint="eastAsia" w:ascii="仿宋" w:hAnsi="仿宋" w:eastAsia="仿宋" w:cs="仿宋"/>
          <w:b/>
          <w:i w:val="0"/>
          <w:caps w:val="0"/>
          <w:color w:val="000000"/>
          <w:spacing w:val="0"/>
          <w:sz w:val="28"/>
          <w:szCs w:val="28"/>
          <w:u w:val="none"/>
        </w:rPr>
      </w:pPr>
      <w:r>
        <w:rPr>
          <w:rFonts w:hint="eastAsia" w:ascii="仿宋" w:hAnsi="仿宋" w:eastAsia="仿宋" w:cs="仿宋"/>
          <w:b/>
          <w:i w:val="0"/>
          <w:caps w:val="0"/>
          <w:color w:val="000000"/>
          <w:spacing w:val="0"/>
          <w:sz w:val="28"/>
          <w:szCs w:val="28"/>
          <w:u w:val="none"/>
        </w:rPr>
        <w:t>习近平给北京大学的留学生们的回信</w:t>
      </w:r>
    </w:p>
    <w:p>
      <w:pPr>
        <w:pStyle w:val="10"/>
        <w:widowControl/>
        <w:pBdr>
          <w:top w:val="none" w:color="auto" w:sz="0" w:space="0"/>
          <w:left w:val="none" w:color="auto" w:sz="0" w:space="0"/>
          <w:bottom w:val="none" w:color="auto" w:sz="0" w:space="0"/>
          <w:right w:val="none" w:color="auto" w:sz="0" w:space="0"/>
        </w:pBdr>
        <w:spacing w:beforeAutospacing="0" w:after="150" w:afterAutospacing="0" w:line="360" w:lineRule="auto"/>
        <w:ind w:left="0" w:right="0" w:firstLine="0"/>
        <w:jc w:val="left"/>
        <w:rPr>
          <w:rFonts w:hint="eastAsia" w:ascii="仿宋" w:hAnsi="仿宋" w:eastAsia="仿宋" w:cs="仿宋"/>
          <w:b w:val="0"/>
          <w:i w:val="0"/>
          <w:caps w:val="0"/>
          <w:color w:val="000000"/>
          <w:spacing w:val="0"/>
          <w:sz w:val="21"/>
          <w:szCs w:val="21"/>
          <w:u w:val="none"/>
        </w:rPr>
      </w:pPr>
      <w:r>
        <w:rPr>
          <w:rFonts w:hint="eastAsia" w:ascii="仿宋" w:hAnsi="仿宋" w:eastAsia="仿宋" w:cs="仿宋"/>
          <w:b w:val="0"/>
          <w:i w:val="0"/>
          <w:caps w:val="0"/>
          <w:color w:val="000000"/>
          <w:spacing w:val="0"/>
          <w:sz w:val="21"/>
          <w:szCs w:val="21"/>
          <w:u w:val="none"/>
        </w:rPr>
        <w:t>北京大学的留学生们：</w:t>
      </w:r>
    </w:p>
    <w:p>
      <w:pPr>
        <w:pStyle w:val="10"/>
        <w:widowControl/>
        <w:pBdr>
          <w:top w:val="none" w:color="auto" w:sz="0" w:space="0"/>
          <w:left w:val="none" w:color="auto" w:sz="0" w:space="0"/>
          <w:bottom w:val="none" w:color="auto" w:sz="0" w:space="0"/>
          <w:right w:val="none" w:color="auto" w:sz="0" w:space="0"/>
        </w:pBdr>
        <w:spacing w:beforeAutospacing="0" w:after="150" w:afterAutospacing="0" w:line="360" w:lineRule="auto"/>
        <w:ind w:left="0" w:right="0" w:firstLine="0"/>
        <w:jc w:val="left"/>
        <w:rPr>
          <w:rFonts w:hint="eastAsia" w:ascii="仿宋" w:hAnsi="仿宋" w:eastAsia="仿宋" w:cs="仿宋"/>
          <w:b w:val="0"/>
          <w:i w:val="0"/>
          <w:caps w:val="0"/>
          <w:color w:val="000000"/>
          <w:spacing w:val="0"/>
          <w:sz w:val="21"/>
          <w:szCs w:val="21"/>
          <w:u w:val="none"/>
        </w:rPr>
      </w:pPr>
      <w:r>
        <w:rPr>
          <w:rFonts w:hint="eastAsia" w:ascii="仿宋" w:hAnsi="仿宋" w:eastAsia="仿宋" w:cs="仿宋"/>
          <w:b w:val="0"/>
          <w:i w:val="0"/>
          <w:caps w:val="0"/>
          <w:color w:val="000000"/>
          <w:spacing w:val="0"/>
          <w:sz w:val="21"/>
          <w:szCs w:val="21"/>
          <w:u w:val="none"/>
        </w:rPr>
        <w:t>　　你们好！来信收悉。你们主动了解中国国情和中国共产党历史，这对了解中国的过去、现在、将来十分有益。</w:t>
      </w:r>
    </w:p>
    <w:p>
      <w:pPr>
        <w:pStyle w:val="10"/>
        <w:widowControl/>
        <w:pBdr>
          <w:top w:val="none" w:color="auto" w:sz="0" w:space="0"/>
          <w:left w:val="none" w:color="auto" w:sz="0" w:space="0"/>
          <w:bottom w:val="none" w:color="auto" w:sz="0" w:space="0"/>
          <w:right w:val="none" w:color="auto" w:sz="0" w:space="0"/>
        </w:pBdr>
        <w:spacing w:beforeAutospacing="0" w:after="150" w:afterAutospacing="0" w:line="360" w:lineRule="auto"/>
        <w:ind w:left="0" w:right="0" w:firstLine="0"/>
        <w:jc w:val="left"/>
        <w:rPr>
          <w:rFonts w:hint="eastAsia" w:ascii="仿宋" w:hAnsi="仿宋" w:eastAsia="仿宋" w:cs="仿宋"/>
          <w:b w:val="0"/>
          <w:i w:val="0"/>
          <w:caps w:val="0"/>
          <w:color w:val="000000"/>
          <w:spacing w:val="0"/>
          <w:sz w:val="21"/>
          <w:szCs w:val="21"/>
          <w:u w:val="none"/>
        </w:rPr>
      </w:pPr>
      <w:r>
        <w:rPr>
          <w:rFonts w:hint="eastAsia" w:ascii="仿宋" w:hAnsi="仿宋" w:eastAsia="仿宋" w:cs="仿宋"/>
          <w:b w:val="0"/>
          <w:i w:val="0"/>
          <w:caps w:val="0"/>
          <w:color w:val="000000"/>
          <w:spacing w:val="0"/>
          <w:sz w:val="21"/>
          <w:szCs w:val="21"/>
          <w:u w:val="none"/>
        </w:rPr>
        <w:t>　　读懂今天的中国，必须读懂中国共产党。你们提到中国共产党致力于发展经济、消除贫困，积极援助其他国家抗击新冠肺炎疫情。中国共产党做这些事情，是因为中国共产党是为中国人民谋幸福的政党，也是为促进人类进步事业而奋斗的政党。中国有句俗语：百闻不如一见。欢迎你们多到中国各地走走看看，更加深入地了解真实的中国，同时把你们的想法和体会介绍给更多的人，为促进各国人民民心相通发挥积极作用。</w:t>
      </w:r>
    </w:p>
    <w:p>
      <w:pPr>
        <w:widowControl/>
        <w:jc w:val="left"/>
      </w:pPr>
      <w:r>
        <w:rPr>
          <w:rFonts w:hint="eastAsia" w:ascii="仿宋" w:hAnsi="仿宋" w:eastAsia="仿宋" w:cs="仿宋"/>
          <w:b w:val="0"/>
          <w:i w:val="0"/>
          <w:caps w:val="0"/>
          <w:color w:val="000000"/>
          <w:spacing w:val="0"/>
          <w:sz w:val="21"/>
          <w:szCs w:val="21"/>
          <w:u w:val="none"/>
          <w:lang w:eastAsia="zh-CN"/>
        </w:rPr>
        <w:t xml:space="preserve">                                                 来源：新华网 </w:t>
      </w:r>
      <w:r>
        <w:rPr>
          <w:rFonts w:hint="eastAsia" w:ascii="仿宋" w:hAnsi="仿宋" w:eastAsia="仿宋" w:cs="仿宋"/>
          <w:b w:val="0"/>
          <w:i w:val="0"/>
          <w:caps w:val="0"/>
          <w:color w:val="000000"/>
          <w:spacing w:val="0"/>
          <w:kern w:val="0"/>
          <w:sz w:val="21"/>
          <w:szCs w:val="21"/>
          <w:u w:val="none"/>
          <w:shd w:val="clear" w:color="auto" w:fill="FFFFFF"/>
          <w:lang w:val="en-US" w:eastAsia="zh-CN"/>
        </w:rPr>
        <w:t>责编：唐宋、梁秋坪</w:t>
      </w:r>
    </w:p>
    <w:p>
      <w:pPr>
        <w:pStyle w:val="10"/>
        <w:widowControl/>
        <w:pBdr>
          <w:top w:val="none" w:color="auto" w:sz="0" w:space="0"/>
          <w:left w:val="none" w:color="auto" w:sz="0" w:space="0"/>
          <w:bottom w:val="none" w:color="auto" w:sz="0" w:space="0"/>
          <w:right w:val="none" w:color="auto" w:sz="0" w:space="0"/>
        </w:pBdr>
        <w:spacing w:beforeAutospacing="0" w:after="150" w:afterAutospacing="0" w:line="360" w:lineRule="auto"/>
        <w:ind w:left="0" w:right="0" w:firstLine="0"/>
        <w:jc w:val="left"/>
        <w:rPr>
          <w:rFonts w:hint="eastAsia" w:ascii="仿宋" w:hAnsi="仿宋" w:eastAsia="仿宋" w:cs="仿宋"/>
          <w:b w:val="0"/>
          <w:i w:val="0"/>
          <w:caps w:val="0"/>
          <w:color w:val="000000"/>
          <w:spacing w:val="0"/>
          <w:sz w:val="21"/>
          <w:szCs w:val="21"/>
          <w:u w:val="none"/>
          <w:lang w:eastAsia="zh-CN"/>
        </w:rPr>
      </w:pPr>
    </w:p>
    <w:p/>
    <w:p>
      <w:pPr>
        <w:widowControl/>
        <w:spacing w:line="360" w:lineRule="auto"/>
        <w:ind w:right="840" w:firstLine="560" w:firstLineChars="200"/>
        <w:jc w:val="right"/>
        <w:rPr>
          <w:rFonts w:ascii="仿宋" w:hAnsi="仿宋" w:eastAsia="仿宋" w:cs="宋体"/>
          <w:color w:val="000000"/>
          <w:kern w:val="0"/>
          <w:sz w:val="28"/>
          <w:szCs w:val="28"/>
        </w:rPr>
      </w:pPr>
    </w:p>
    <w:p>
      <w:pPr>
        <w:widowControl/>
        <w:spacing w:line="360" w:lineRule="auto"/>
        <w:jc w:val="left"/>
        <w:rPr>
          <w:rFonts w:ascii="仿宋" w:hAnsi="仿宋" w:eastAsia="仿宋"/>
          <w:sz w:val="21"/>
          <w:szCs w:val="21"/>
        </w:rPr>
      </w:pPr>
      <w:r>
        <w:rPr>
          <w:rFonts w:ascii="仿宋" w:hAnsi="仿宋" w:eastAsia="仿宋"/>
          <w:sz w:val="21"/>
          <w:szCs w:val="21"/>
        </w:rPr>
        <w:br w:type="page"/>
      </w:r>
    </w:p>
    <w:p>
      <w:pPr>
        <w:spacing w:line="360" w:lineRule="auto"/>
        <w:jc w:val="center"/>
        <w:outlineLvl w:val="0"/>
        <w:rPr>
          <w:rFonts w:ascii="仿宋" w:hAnsi="仿宋" w:eastAsia="仿宋"/>
          <w:b/>
          <w:bCs/>
          <w:sz w:val="36"/>
          <w:szCs w:val="36"/>
        </w:rPr>
      </w:pPr>
      <w:r>
        <w:rPr>
          <w:rFonts w:hint="eastAsia" w:ascii="仿宋" w:hAnsi="仿宋" w:eastAsia="仿宋"/>
          <w:b/>
          <w:bCs/>
          <w:sz w:val="36"/>
          <w:szCs w:val="36"/>
        </w:rPr>
        <w:t>第四章重要文件</w:t>
      </w:r>
    </w:p>
    <w:p>
      <w:pPr>
        <w:pStyle w:val="10"/>
        <w:keepNext w:val="0"/>
        <w:keepLines w:val="0"/>
        <w:pageBreakBefore w:val="0"/>
        <w:widowControl w:val="0"/>
        <w:shd w:val="clear" w:color="auto" w:fill="FFFFFF"/>
        <w:tabs>
          <w:tab w:val="left" w:pos="391"/>
        </w:tabs>
        <w:kinsoku/>
        <w:wordWrap/>
        <w:overflowPunct/>
        <w:topLinePunct w:val="0"/>
        <w:autoSpaceDE/>
        <w:autoSpaceDN/>
        <w:bidi w:val="0"/>
        <w:adjustRightInd/>
        <w:snapToGrid/>
        <w:spacing w:before="0" w:beforeAutospacing="0" w:after="0" w:afterAutospacing="0" w:line="360" w:lineRule="auto"/>
        <w:ind w:firstLine="562" w:firstLineChars="200"/>
        <w:jc w:val="center"/>
        <w:textAlignment w:val="auto"/>
        <w:rPr>
          <w:rFonts w:hint="eastAsia" w:ascii="仿宋" w:hAnsi="仿宋" w:eastAsia="仿宋"/>
          <w:b/>
          <w:bCs/>
          <w:color w:val="000000"/>
          <w:sz w:val="28"/>
          <w:szCs w:val="28"/>
          <w:lang w:eastAsia="zh-CN"/>
        </w:rPr>
      </w:pPr>
      <w:r>
        <w:rPr>
          <w:rFonts w:hint="eastAsia" w:ascii="仿宋" w:hAnsi="仿宋" w:eastAsia="仿宋"/>
          <w:b/>
          <w:bCs/>
          <w:color w:val="000000"/>
          <w:sz w:val="28"/>
          <w:szCs w:val="28"/>
          <w:lang w:eastAsia="zh-CN"/>
        </w:rPr>
        <w:t>中共中央办公厅 国务院办公厅印发《关于深化国有文艺院团改革的意见》</w:t>
      </w:r>
    </w:p>
    <w:p>
      <w:pPr>
        <w:pStyle w:val="10"/>
        <w:keepNext w:val="0"/>
        <w:keepLines w:val="0"/>
        <w:pageBreakBefore w:val="0"/>
        <w:widowControl w:val="0"/>
        <w:shd w:val="clear" w:color="auto" w:fill="FFFFFF"/>
        <w:tabs>
          <w:tab w:val="left" w:pos="1034"/>
        </w:tabs>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新华社北京6月7日电 近日，中共中央办公厅、国务院办公厅印发了《关于深化国有文艺院团改革的意见》，并发出通知，要求各地区各部门结合实际认真贯彻落实。</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《关于深化国有文艺院团改革的意见》主要内容如下。</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党的十八大以来，以习近平同志为核心的党中央高度重视文艺工作，作出一系列决策部署，出台繁荣发展社会主义文艺、支持戏曲传承发展等政策措施，国有文艺院团改革发展取得积极进展。但是，同人民日益增长的美好生活需要相比，国有文艺院团宣传思想战线主阵地作用尚待加强，创作生产能力尚不匹配，生机活力还未充分激发。为深化国有文艺院团改革，激发创新创造活力，繁荣发展社会主义文艺，现提出如下意见。</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一、总体要求</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一）指导思想。以习近平新时代中国特色社会主义思想为指导，深入贯彻党的十九大和十九届二中、三中、四中全会精神，紧紧围绕举旗帜、聚民心、育新人、兴文化、展形象的使命任务，突出问题导向，坚持分类指导，以演出为中心环节，凝聚共识，激发国有文艺院团生机活力，创作生产思想精深、艺术精湛、制作精良的舞台艺术佳作，不断满足人民向往美好生活的精神文化需求。</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（二）工作原则</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——加强党的领导。充分发挥党把方向、谋大局、定政策、促改革的作用，把党的领导贯穿国有文艺院团改革发展全过程，为国有文艺院团改革发展提供坚强的政治保证和组织保证。</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遵循艺术发展规律。把加强舞台艺术精品创作作为重点任务，把提高质量作为文艺作品的生命线，以创作规划为先导，引导广大文艺工作者深入生活、扎根人民进行文艺创造，推动形成艺术精品和文艺人才不断涌现的生动局面。</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坚持社会效益优先。坚持以社会主义核心价值观为引领，始终把社会效益放在首位，努力实现社会效益和经济效益相统一，推动以更多优秀作品传递真善美，引导艺术工作者自觉追求德艺双馨，讲品位讲格调讲责任，抵制低俗庸俗媚俗。</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——坚持以改革促发展。突出问题导向，加强政府支持和政策引导，优化资源配置，发挥社会力量和市场机制作用，不断增强发展活力。</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三）主要目标。建立和完善剧本质高量多、剧目纷呈多彩、剧场布局合理、院团人才辈出的可持续发展体制机制和政策体系，实现国有文艺院团创演质量、管理水平、服务效能大幅提升，巩固和发挥国有文艺院团舞台艺术创作生产的主导地位和引领作用。</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二、重点任务</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一）明确功能定位。国有文艺院团是繁荣发展社会主义文艺的中坚力量，是提供公共文化服务、发展文化产业的重要力量。国家直属院团要强化“国家队”意识，着力创作体现国家水准和民族特色、具有国际影响力的优秀舞台艺术作品，示范带动本艺术门类发展。省（自治区、直辖市）属院团要充分挖掘地方特色资源，做强区域优势艺术门类，成为本区域舞台艺术创作生产的引领者和推动者。市（地、州、盟）和县（市、区、旗）属院团原则上以服务基层群众为主要任务，更多承担政策宣传、公共服务、惠民演出、艺术普及等工作。国家和省级院团要积极承担国家和当地重大主题性创作演出任务，加强对基层文艺院团的业务指导和队伍培训。</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二）分类推进改革。已明确保留事业单位性质的国有文艺院团，要突出和强化公益属性，完善财政、人事、收入分配等各项政策，进一步增强活力。已组建的演艺企业集团，要充分发挥聚合优势，努力成为骨干文化企业。未列入保留事业单位性质范围的国有文艺院团，要着力提高市场适应能力和发展活力，创造条件转企改制。</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三）激发国有文艺院团内生动力。实行政事分开、事企分开、管办分离，改进政府管理和服务方式，强化政策引导、激励和保障，为国有文艺院团营造更好发展环境。完善转企改制国有文艺院团（以下简称转制院团）法人治理结构，强化内部运行机制和经营管理创新，形成体现文化企业特点、符合现代企业制度要求的资产组织形式和经营管理模式。建立健全国有文艺院团内部决策和制约机制，实行重大决策、重要人事任免、重大项目安排、大额度资金运作集体讨论并按规定程序执行。发挥职工（代表）大会职能，强化民主管理。</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四）建立健全扶持优秀剧本创作的长效机制。坚持以人民为中心的创作导向，加强现实题材、爱国主义题材、重大革命和历史题材、青少年题材、军事题材等剧本创作，深入挖掘中华文化底蕴，积极反映新时代中国特色社会主义伟大实践，提高原创能力。加强艺术创作研究机构建设，鼓励国有文艺院团或艺术研究院（所）设立创作室等创作机构。中央和地方各类艺术基金，有条件的要将剧本创作资助纳入有关中长期规划，加强对剧本、编导、作曲等原创性、基础性环节和优秀创作人才的资助。支持剧本创作人员培养，注重扶持县级以下基层文化机构创作人才。各级政府及有关部门要支持国有文艺院团提升自身创作生产能力，为剧作家采风、深入生活提供条件。鼓励探索签约创作、招标创作、跨地跨界联手创作和联合攻关创作等机制，形成重点剧本重点攻关、重点创作主体重点培育的格局。加强剧本创作知识产权保护。对接中国民族民间文艺基础资源数据库，系统整理优秀传统经典剧本，充分吸收新创、改编剧本，搭建优秀剧本推介交易平台，为国有文艺院团投排剧目提供便捷服务。</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五）建立健全促进剧目生产表演的有效机制。建立导向正确、内容鲜活、群众喜爱、常演常新的剧目生产表演机制，设立艺术委员会或艺术总监岗位，加强剧目生产选题论证评估。根据国有文艺院团的艺术样式，聚焦经典代表作、新编和改编剧目、现实题材原创新作等不同题材，适应不同演出条件，满足不同观演人群需要，推出优秀剧目演出的经典版、驻场版、巡演版，形成剧目生产题材和版本多样化机制。实施中国戏曲像音像工程，利用现有文化资源数据库，搭建戏曲剧种剧目数据共享平台，促进剧目生产现代化。加强舞台剧目生产和影视剧生产的衔接融合，推动媒体与国有文艺院团积极合作，充分利用广播电视、网络视听、新媒体等传播渠道，不断提升舞台剧目的传播力和影响力。鼓励有条件的国有文艺院团探索剧目股份制、项目制等多种灵活方式。</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六）建立健全鼓励演职员多演出的激励机制。以艺德艺风建设为重点，综合考核演出数量和质量，根据考核结果合理确定演职员的收入分配、职称评定和福利保障，为演职员充分施展才华创造良好的体制机制环境。建立健全收入分配激励机制，细化奖励性绩效工资发放等级和档次。按照多演出多得酬劳的原则，适当拉开演职员收入水平差距，演出收入向业务骨干和作出突出业绩的人才倾斜、向一线演员倾斜、向关键岗位和特殊岗位倾斜。允许国有文艺院团对高层次人才、关键岗位、业务骨干或紧缺急需人才实行协议工资、项目工资、年薪制等分配方式。根据演出数量、质量等因素，合理确定保留事业单位性质的国有文艺院团绩效工资总量，单位内部分配时可根据需要设立创作、演出、高层次人才补贴等绩效工资项目。转制院团取得的公益性演出收入可以发放人员劳务费。建立符合舞台艺术特点的人才评价机制，在职称评定中重点考察不同艺术门类人才在艺术表演和剧目创作生产中体现的能力、业绩，推行艺术创作作品与论文、专著等效评价，合理配置高级岗位中重要演职员比例。加大对杂技、舞蹈、管乐、戏曲武功等特殊岗位演员保障力度，国有文艺院团依法参加工伤保险，鼓励购买人身意外伤害保险，提高职业伤害保障水平。建立特殊岗位演员培训制度，提高转岗就业能力，积极引导并支持其从事基层公共文化服务、艺术院校教师以及院团编（指）导、艺术普及培训等工作。</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七）建立健全布局合理的剧场供应机制。采取改（扩）建、新建、租赁、委托经营等多种方式，科学合理增加剧场和观众座席数，建立健全城乡统筹规划、存量盘活优化、增量不断扩大、布局动态平衡的剧场供应机制。支持各地结合经济发展水平、相关规划、文化基础和社会需求等因素，加强剧院（场）等设施场所建设，配套建设舞台演出设施。促进国有文艺院团和剧场深度合作，支持“团场合作”、“以团带场”或“以场带团”。积极利用城乡公共设施和场地建设户外演出设施。加强演出设施设备安全保障。鼓励党政机关、学校、国有企事业单位等的各类文体设施免费或优惠提供给国有文艺院团开展公益性演出。鼓励有条件的地方建立国有文艺院团驻场演出制度。加快文艺演出院线建设，整合剧场和剧目资源，促进优质演艺资源共建共享。</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八）建立健全国有文艺院团双效统一的体制机制。建立健全把社会效益放在首位、实现社会效益和经济效益相统一的文艺创作生产体制机制。开展国有文艺院团社会效益评价考核，重点考核创作、演出和艺术普及等方面绩效，考核结果以适当形式向社会公开，强化考核结果转化利用。支持国有文艺院团以内容创作生产为主业，健全内容导向和艺术质量管理制度，建立深入生活、扎根人民的常态化工作机制。支持国有文艺院团参与中华文化走出去工作。引导国有文艺院团积极参与公共文化服务和社会艺术普及活动，推动优质文艺资源进企业、进农村、进校园、进社区、进军营。鼓励社会力量通过投资或捐助设施设备、资助项目、赞助活动、提供产品和服务等方式支持国有文艺院团发展</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三、保障措施</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一）加强组织领导。各级党委要切实担负起政治责任和领导责任，严格落实意识形态工作责任制，加强对国有文艺院团改革发展重大问题的分析研判，指导国有文艺院团党组织做好参与重大事项决策、舞台艺术作品内容把控等方面工作，充分发挥基层党组织战斗堡垒作用。各级政府要把国有文艺院团深化改革加快发展工作纳入经济社会发展总体规划，制定本地支持国有文艺院团改革发展的具体措施。建立健全党委宣传部门协调指导，文化和旅游部门负责落实，机构编制、发展改革、财政、人力资源社会保障等部门积极配合的工作机制，加大政策保障力度，加强督导落实，确保各项任务落到实处。</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二）完善政策保障。各级政府要落实对符合条件国有文艺院团的支持政策，支持国有文艺院团提升创作生产能力，加强文化艺术交流，保护和传承文化遗产，开展文化惠民活动等。积极扶持体现国家水准和民族特色的国有文艺院团创作生产，支持其开展剧目创作、人才培养、文献资料抢救保存、公益性演出和对外文化交流等活动。加强对公益性演出质量和效益的考核评价，竞争择优确定承接主体。对划入其他文化机构且已撤销建制的县（市、区、旗）属院团，符合条件的可核发营业性演出许可证。加大优秀保留剧目政府购买演出力度，根据群众实际需求，每年开展为农村乡镇送戏曲等文艺演出活动。</w:t>
      </w:r>
    </w:p>
    <w:p>
      <w:pPr>
        <w:pStyle w:val="10"/>
        <w:shd w:val="clear" w:color="auto" w:fill="FFFFFF"/>
        <w:tabs>
          <w:tab w:val="left" w:pos="1034"/>
        </w:tabs>
        <w:spacing w:before="0" w:beforeAutospacing="0" w:after="0" w:afterAutospacing="0"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三）强化人才激励。将国有文艺院团人才队伍建设纳入宣传文化系统人才队伍建设统一规划，完善人才培养、引进、管理、保障与奖励机制。发挥文化名家暨“四个一批”人才工程引领示范作用，推出一批舞台艺术领域领军人才和艺术家。加强编剧、作曲、导演、演员、灯光、舞美、剧务、舞台监督等人才队伍特别是青年人才的培养和储备。鼓励国有文艺院团制定人才培养计划和培训制度，为演职员提供就业技能培训和岗位技能提升培训。鼓励国有文艺院团与高等学校、职业院校开展人才联合培养，支持有条件的国有文艺院团开办艺术培训学校。推进优秀人才国际国内交流合作。鼓励国有文艺院团吸纳重要演职员代表参与经营管理决策。实施文化艺术领域荣誉表彰制度，完善中国文化艺术政府奖（文华奖）评选办法和奖项设置。</w:t>
      </w:r>
    </w:p>
    <w:p>
      <w:pPr>
        <w:pStyle w:val="10"/>
        <w:shd w:val="clear" w:color="auto" w:fill="FFFFFF"/>
        <w:tabs>
          <w:tab w:val="left" w:pos="1034"/>
        </w:tabs>
        <w:spacing w:before="0" w:beforeAutospacing="0" w:after="0" w:afterAutospacing="0" w:line="360" w:lineRule="auto"/>
        <w:ind w:firstLine="4830" w:firstLineChars="2300"/>
        <w:jc w:val="left"/>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 xml:space="preserve">来源：新华社 </w:t>
      </w:r>
      <w:r>
        <w:rPr>
          <w:rFonts w:hint="eastAsia" w:ascii="仿宋" w:hAnsi="仿宋" w:eastAsia="仿宋"/>
          <w:color w:val="000000"/>
          <w:sz w:val="21"/>
          <w:szCs w:val="21"/>
          <w:lang w:eastAsia="zh-CN"/>
        </w:rPr>
        <w:t>责编：任一林、王欲然</w:t>
      </w:r>
      <w:r>
        <w:rPr>
          <w:rFonts w:hint="eastAsia" w:ascii="仿宋" w:hAnsi="仿宋" w:eastAsia="仿宋"/>
          <w:color w:val="000000"/>
          <w:sz w:val="21"/>
          <w:szCs w:val="21"/>
          <w:lang w:val="en-US" w:eastAsia="zh-CN"/>
        </w:rPr>
        <w:t xml:space="preserve"> </w:t>
      </w:r>
    </w:p>
    <w:p>
      <w:pPr>
        <w:pStyle w:val="10"/>
        <w:shd w:val="clear" w:color="auto" w:fill="FFFFFF"/>
        <w:spacing w:before="0" w:beforeAutospacing="0" w:after="0" w:afterAutospacing="0" w:line="360" w:lineRule="auto"/>
        <w:ind w:firstLine="420" w:firstLineChars="200"/>
        <w:jc w:val="right"/>
        <w:rPr>
          <w:rFonts w:ascii="仿宋" w:hAnsi="仿宋" w:eastAsia="仿宋"/>
          <w:color w:val="000000"/>
          <w:sz w:val="21"/>
          <w:szCs w:val="21"/>
        </w:rPr>
      </w:pPr>
    </w:p>
    <w:p>
      <w:pPr>
        <w:tabs>
          <w:tab w:val="left" w:pos="1205"/>
        </w:tabs>
        <w:spacing w:line="360" w:lineRule="auto"/>
        <w:ind w:firstLine="420" w:firstLineChars="200"/>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tab/>
      </w:r>
    </w:p>
    <w:p>
      <w:pPr>
        <w:widowControl/>
        <w:spacing w:line="360" w:lineRule="auto"/>
        <w:jc w:val="center"/>
        <w:outlineLvl w:val="0"/>
        <w:rPr>
          <w:rFonts w:hint="eastAsia" w:ascii="仿宋" w:hAnsi="仿宋" w:eastAsia="仿宋"/>
          <w:b/>
          <w:bCs/>
          <w:color w:val="000000"/>
          <w:sz w:val="28"/>
          <w:szCs w:val="28"/>
        </w:rPr>
      </w:pPr>
      <w:r>
        <w:rPr>
          <w:rFonts w:hint="eastAsia" w:ascii="仿宋" w:hAnsi="仿宋" w:eastAsia="仿宋"/>
          <w:b/>
          <w:bCs/>
          <w:color w:val="000000"/>
          <w:sz w:val="28"/>
          <w:szCs w:val="28"/>
        </w:rPr>
        <w:t>中共中央国务院关于支持浙江高质量发展建设共同富裕示范区的意见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共同富裕是社会主义的本质要求，是人民群众的共同期盼。改革开放以来，通过允许一部分人、一部分地区先富起来，先富带后富，极大解放和发展了社会生产力，人民生活水平不断提高。党的十八大以来，以习近平同志为核心的党中央不忘初心、牢记使命，团结带领全党全国各族人民，始终朝着实现共同富裕的目标不懈努力，全面建成小康社会取得伟大历史性成就，特别是决战脱贫攻坚取得全面胜利，困扰中华民族几千年的绝对贫困问题得到历史性解决，为新发展阶段推动共同富裕奠定了坚实基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党的十九届五中全会对扎实推动共同富裕作出重大战略部署。实现共同富裕不仅是经济问题，而且是关系党的执政基础的重大政治问题。共同富裕具有鲜明的时代特征和中国特色，是全体人民通过辛勤劳动和相互帮助，普遍达到生活富裕富足、精神自信自强、环境宜居宜业、社会和谐和睦、公共服务普及普惠，实现人的全面发展和社会全面进步，共享改革发展成果和幸福美好生活。随着我国开启全面建设社会主义现代化国家新征程，必须把促进全体人民共同富裕摆在更加重要的位置，向着这个目标更加积极有为地进行努力，让人民群众真真切切感受到共同富裕看得见、摸得着、真实可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当前，我国发展不平衡不充分问题仍然突出，城乡区域发展和收入分配差距较大，各地区推动共同富裕的基础和条件不尽相同。促进全体人民共同富裕是一项长期艰巨的任务，需要选取部分地区先行先试、作出示范。浙江省在探索解决发展不平衡不充分问题方面取得了明显成效，具备开展共同富裕示范区建设的基础和优势，也存在一些短板弱项，具有广阔的优化空间和发展潜力。支持浙江高质量发展建设共同富裕示范区，有利于通过实践进一步丰富共同富裕的思想内涵，有利于探索破解新时代社会主要矛盾的有效途径，有利于为全国推动共同富裕提供省域范例，有利于打造新时代全面展示中国特色社会主义制度优越性的重要窗口。现就支持浙江高质量发展建设共同富裕示范区提出如下意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一、总体要求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一）指导思想。以习近平新时代中国特色社会主义思想为指导，深入贯彻党的十九大和十九届二中、三中、四中、五中全会精神，全面贯彻落实习近平总书记关于浙江工作的重要指示批示精神，坚持稳中求进工作总基调，坚持以人民为中心的发展思想，立足新发展阶段、贯彻新发展理念、构建新发展格局，紧扣推动共同富裕和促进人的全面发展，坚持以满足人民日益增长的美好生活需要为根本目的，以改革创新为根本动力，以解决地区差距、城乡差距、收入差距问题为主攻方向，更加注重向农村、基层、相对欠发达地区倾斜，向困难群众倾斜，支持浙江创造性贯彻“八八战略”，在高质量发展中扎实推动共同富裕，着力在完善收入分配制度、统筹城乡区域发展、发展社会主义先进文化、促进人与自然和谐共生、创新社会治理等方面先行示范，构建推动共同富裕的体制机制，着力激发人民群众积极性、主动性、创造性，促进社会公平，增进民生福祉，不断增强人民群众的获得感、幸福感、安全感和认同感，为实现共同富裕提供浙江示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（二）工作原则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坚持党的全面领导。坚定维护党中央权威和集中统一领导，充分发挥党总揽全局、协调各方的领导核心作用，坚持和完善中国特色社会主义制度，把党的政治优势和制度优势转化为推动共同富裕示范区建设、广泛凝聚各方共识的强大动力和坚强保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坚持以人民为中心。坚持发展为了人民、发展依靠人民、发展成果由人民共享，始终把人民对美好生活的向往作为推动共同富裕的奋斗目标，瞄准人民群众所忧所急所盼，在更高水平上实现幼有所育、学有所教、劳有所得、病有所医、老有所养、住有所居、弱有所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坚持共建共享。弘扬勤劳致富精神，鼓励劳动者通过诚实劳动、辛勤劳动、创新创业实现增收致富，不断提高劳动生产率和全要素生产率。充分发挥市场在资源配置中的决定性作用，更好发挥政府作用，体现效率、促进公平，坚决防止两极分化，在发展中补齐民生短板，让发展成果更多更公平惠及人民群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坚持改革创新。坚定不移推进改革，推动有利于共同富裕的体制机制不断取得新突破，着力破除制约高质量发展高品质生活的体制机制障碍，强化有利于调动全社会积极性的重大改革开放举措。坚持创新在现代化建设全局中的核心地位，深入实施创新驱动发展战略，率先在推动共同富裕方面实现理论创新、实践创新、制度创新、文化创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坚持系统观念。立足当前、着眼长远，统筹考虑需要和可能，按照经济社会发展规律循序渐进，脚踏实地、久久为功，不吊高胃口、不搞“过头事”，尽力而为、量力而行，注重防范化解重大风险，使示范区建设与经济发展阶段相适应、与现代化建设进程相协调，不断形成推动共同富裕的阶段性标志性成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（三）战略定位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高质量发展高品质生活先行区。率先探索实现高质量发展的有效路径，促进城乡居民收入增长与经济增长更加协调，构建产业升级与消费升级协调共进、经济结构与社会结构优化互促的良性循环，更好满足人民群众品质化多样化的生活需求，富民惠民安民走在全国前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城乡区域协调发展引领区。坚持城乡融合、陆海统筹、山海互济，形成主体功能明显、优势互补、高质量发展的国土空间开发保护新格局，健全城乡一体、区域协调发展体制机制，加快基本公共服务均等化，率先探索实现城乡区域协调发展的路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收入分配制度改革试验区。坚持按劳分配为主体、多种分配方式并存，着重保护劳动所得，完善要素参与分配政策制度，在不断提高城乡居民收入水平的同时，缩小收入分配差距，率先在优化收入分配格局上取得积极进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文明和谐美丽家园展示区。加强精神文明建设，推动生态文明建设先行示范，打造以社会主义核心价值观为引领、传承中华优秀文化、体现时代精神、具有江南特色的文化强省，实现国民素质和社会文明程度明显提高、团结互助友爱蔚然成风、经济社会发展全面绿色转型，成为人民精神生活丰富、社会文明进步、人与自然和谐共生的幸福美好家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（四）发展目标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到2025年，浙江省推动高质量发展建设共同富裕示范区取得明显实质性进展。经济发展质量效益明显提高，人均地区生产总值达到中等发达经济体水平，基本公共服务实现均等化；城乡区域发展差距、城乡居民收入和生活水平差距持续缩小，低收入群体增收能力和社会福利水平明显提升，以中等收入群体为主体的橄榄型社会结构基本形成，全省居民生活品质迈上新台阶；国民素质和社会文明程度达到新高度，美丽浙江建设取得新成效，治理能力明显提升，人民生活更加美好；推动共同富裕的体制机制和政策框架基本建立，形成一批可复制可推广的成功经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到2035年，浙江省高质量发展取得更大成就，基本实现共同富裕。人均地区生产总值和城乡居民收入争取达到发达经济体水平，城乡区域协调发展程度更高，收入和财富分配格局更加优化，法治浙江、平安浙江建设达到更高水平，治理体系和治理能力现代化水平明显提高，物质文明、政治文明、精神文明、社会文明、生态文明全面提升，共同富裕的制度体系更加完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二、提高发展质量效益，夯实共同富裕的物质基础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五）大力提升自主创新能力。以创新型省份建设为抓手，把科技自立自强作为战略支撑，加快探索社会主义市场经济条件下新型举国体制开展科技创新的浙江路径。实施好关键核心技术攻关工程，强化国家战略科技力量，为率先实现共同富裕提供强劲内生动力。支持布局重大科技基础设施和平台，建设创新策源地，打造“互联网+”、生命健康、新材料科创高地。高水平建设杭州、宁波温州国家自主创新示范区，深化国家数字经济创新发展试验区建设，强化“云上浙江”和数字强省基础支撑，探索消除数字鸿沟的有效路径，保障不同群体更好共享数字红利。畅通创新要素向企业集聚通道，鼓励企业组建创新联合体和知识产权联盟，建设共性技术平台。加大对科技成果应用和产业化的政策支持力度，打造辐射全国、链接全球的技术交易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六）塑造产业竞争新优势。巩固壮大实体经济根基，夯实共同富裕的产业基础。加快推进产业转型升级，大力推动企业设备更新和技术改造，推动传统产业高端化、智能化、绿色化发展，做优做强战略性新兴产业和未来产业，培育若干世界级先进制造业集群，打响“浙江制造”品牌。促进中小微企业专精特新发展，提升创新能力和专业化水平。推动农村一二三产业融合发展，建设农业现代化示范区，做精农业特色优势产业和都市农业，发展智慧农业。加快服务业数字化、标准化、品牌化发展，推动现代服务业同先进制造业、现代农业深度融合。畅通金融服务实体经济渠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七）提升经济循环效率。落实构建新发展格局要求，贯通生产、分配、流通、消费各环节，在率先实现共同富裕进程中畅通经济良性循环。深化供给侧结构性改革，扩大优质产品和服务消费供给，加快线上线下消费双向深度融合。支持适销对路的优质外贸产品拓宽内销渠道。加快构建现代流通体系，推动海港、陆港、空港、信息港“四港”联动。统筹推进浙江自由贸易试验区各片区联动发展，开展首创性和差别化改革探索。畅通城乡区域经济循环，破除制约城乡区域要素平等交换、双向流动的体制机制障碍，促进城乡一体化、区域协调发展。支持浙江发挥好各地区比较优势，加强大湾区大花园大通道大都市区建设。更加主动对接上海、江苏、安徽，更好融入长三角一体化发展。加快建设“一带一路”重要枢纽，大力发展数字贸易、服务贸易，发展更高水平开放型经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八）激发各类市场主体活力。推动有效市场和有为政府更好结合，培育更加活跃更有创造力的市场主体，壮大共同富裕根基。高水平推动浙江杭州区域性国资国企综合改革试验，完善国有资产监管体制，规范有序开展混合所有制改革，做强做优做大国有资本和国有企业，充分发挥国有经济战略支撑作用。完善产权保护制度，构建亲清政商关系，促进非公有制经济健康发展和非公有制经济人士健康成长，破除制约民营企业发展的各种壁垒，完善促进中小微企业和个体工商户发展的法律环境和政策体系，建立企业减负长效机制。加快建设高标准市场体系，持续优化市场化法治化国际化营商环境，实施统一的市场准入负面清单制度。坚持发展和规范并重，建立健全平台经济治理体系，督促平台企业承担质量和安全保障等责任，推动平台经济为高质量发展和高品质生活服务。加大反垄断和反不正当竞争执法司法力度，提升监管能力和水平，实现事前事中事后全链条监管，防止资本无序扩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三、深化收入分配制度改革，多渠道增加城乡居民收入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九）推动实现更加充分更高质量就业。强化就业优先政策，坚持经济发展就业导向，扩大就业容量，提升就业质量，促进充分就业。支持和规范发展新就业形态，完善促进创业带动就业、多渠道灵活就业的保障制度。统筹各类职业技能培训资金，合理安排就业补助资金，健全统筹城乡的就业公共服务体系。鼓励返乡入乡创业。完善重点群体就业支持体系，帮扶困难人员就业。创造公平就业环境，率先消除户籍、地域、身份、性别等影响就业的制度障碍，深化构建和谐劳动关系，推动劳动者通过辛勤劳动提高生活品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不断提高人民收入水平。优化政府、企业、居民之间分配格局，支持企业通过提质增效拓展从业人员增收空间，合理提高劳动报酬及其在初次分配中的比重。健全工资合理增长机制，完善企业薪酬调查和信息发布制度，合理调整最低工资标准，落实带薪休假制度。完善创新要素参与分配机制，支持浙江加快探索知识、技术、管理、数据等要素价值的实现形式。拓宽城乡居民财产性收入渠道，探索通过土地、资本等要素使用权、收益权增加中低收入群体要素收入。丰富居民可投资金融产品，完善上市公司分红制度。鼓励企业开展员工持股计划。深入推进农村集体产权制度改革，巩固提升农村集体经济，探索股权流转、抵押和跨社参股等农村集体资产股份权能实现新形式。立足当地特色资源推动乡村产业发展壮大，完善利益联结机制，让农民更多分享产业增值收益。支持浙江率先建立集体经营性建设用地入市增值收益分配机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一）扩大中等收入群体。实施扩大中等收入群体行动计划，激发技能人才、科研人员、小微创业者、高素质农民等重点群体活力。加大人力资本投入力度，健全面向劳动者的终身职业技能培训制度，实施新时代浙江工匠培育工程，加快构建产教训融合、政企社协同、育选用贯通的技术技能人才培养培训体系，完善技能人才薪酬分配政策，拓宽技术工人上升通道。对有劳动能力的低收入群体，坚持开发式帮扶，提高内生发展能力，着力发展产业使其积极参与就业。拓展基层发展空间，保障不同群体发展机会公平，推动更多低收入群体迈入中等收入群体行列。规范招考选拔聘用制度，完善评价激励机制。完善党政机关、企事业单位和社会各方面人才顺畅流动的制度体系。实行更加开放的人才政策，激发人才创新活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二）完善再分配制度。支持浙江在调节收入分配上主动作为，加大省对市县转移支付等调节力度和精准性，合理调节过高收入。依法严厉惩治贪污腐败，继续遏制以权力、行政垄断等非市场因素获取收入，取缔非法收入。优化财政支出结构，加大保障和改善民生力度，建立健全改善城乡低收入群体等困难人员生活的政策体系和长效机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三）建立健全回报社会的激励机制。鼓励引导高收入群体和企业家向上向善、关爱社会，增强社会责任意识，积极参与和兴办社会公益事业。充分发挥第三次分配作用，发展慈善事业，完善有利于慈善组织持续健康发展的体制机制，畅通社会各方面参与慈善和社会救助的渠道。探索各类新型捐赠方式，鼓励设立慈善信托。加强对慈善组织和活动的监督管理，提高公信力和透明度。落实公益性捐赠税收优惠政策，完善慈善褒奖制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四、缩小城乡区域发展差距，实现公共服务优质共享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四）率先实现基本公共服务均等化。推进城乡区域基本公共服务更加普惠均等可及，稳步提高保障标准和服务水平。推动义务教育优质均衡发展，建成覆盖城乡的学前教育公共服务体系，探索建立覆盖全省中小学的新时代城乡教育共同体，共享“互联网+教育”优质内容，探索终身学习型社会的浙江示范，提高人口平均受教育年限和综合能力素质。深入实施健康浙江行动，加快建设强大的公共卫生体系，深化县域医共体和城市医联体建设，推动优质医疗资源均衡布局。积极应对人口老龄化，提高优生优育服务水平，大力发展普惠托育服务体系，加快建设居家社区机构相协调、医养康养相结合的养老服务体系，发展普惠型养老服务和互助性养老。健全全民健身公共服务体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五）率先实现城乡一体化发展。高质量创建乡村振兴示范省，推动新型城镇化与乡村振兴全面对接，深入探索破解城乡二元结构、缩小城乡差距、健全城乡融合发展的体制机制。推动实现城乡交通、供水、电网、通信、燃气等基础设施同规同网。推进以人为核心的新型城镇化，健全农业转移人口市民化长效机制，探索建立人地钱挂钩、以人定地、钱随人走制度，切实保障农民工随迁子女平等接受义务教育，逐步实现随迁子女入学待遇同城化。促进大中小城市与小城镇协调发展。推进以县城为重要载体的城镇化建设，推进空间布局、产业发展、基础设施等县域统筹，赋予县级更多资源整合使用的自主权。以深化“千村示范、万村整治”工程牵引新时代乡村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六）持续改善城乡居民居住条件。坚持房子是用来住的、不是用来炒的定位，完善住房市场体系和住房保障体系，确保实现人民群众住有所居。针对新市民、低收入困难群众等重点群体，有效增加保障性住房供给。对房价比较高、流动人口多的城市，土地供应向租赁住房建设倾斜，探索利用集体建设用地和企事业单位自有闲置土地建设租赁住房，扩大保障性租赁住房供给，加快完善长租房政策，使租购住房在享受公共服务上具有同等权利。全面推进城镇老旧小区改造和社区建设，提升农房建设质量，加强农村危房改造，探索建立农村低收入人口基本住房安全保障机制，塑造江南韵、古镇味、现代风的新江南水乡风貌，提升城乡宜居水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七）织密扎牢社会保障网。完善社会保障制度，加快实现法定人员全覆盖，建立统一的社保公共服务平台，实现社保事项便捷“一网通办”。健全多层次、多支柱养老保险体系，大力发展企业年金、职业年金、个人储蓄型养老保险和商业养老保险。规范执行全国统一的社保费率标准。推动基本医疗保险、失业保险、工伤保险省级统筹。健全重大疾病医疗保险制度。做好长期护理保险制度试点工作，积极发展商业医疗保险。健全灵活就业人员社保制度。健全统一的城乡低收入群体精准识别机制，完善分层分类、城乡统筹的社会救助体系，加强城乡居民社会保险与社会救助制度的衔接，按困难类型分类分档及时给予专项救助、临时救助，切实兜住因病、因灾致贫等困难群众基本生活底线。保障妇女儿童合法权益，完善帮扶残疾人、孤儿等社会福利制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八）完善先富带后富的帮扶机制。加快推进省以下财政事权和支出责任划分改革，加大向重点生态功能区的转移支付力度。强化陆海统筹，升级山海协作工程，挖掘海域和山区两翼的潜力优势，支持一批重点生态功能区县增强内生发展能力和实力，带动山区群众增收致富。全域参与海洋经济发展，建设海洋强省。探索建立先富帮后富、推动共同富裕的目标体系、工作体系、政策体系、评估体系。深入实施东西部协作和对口支援，持续推进智力支援、产业支援、民生改善、文化教育支援，加强对省外欠发达地区帮扶，大力推进产业合作、消费帮扶和劳务协作，探索共建园区、飞地经济等利益共享模式。完善社会力量参与帮扶的长效机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五、打造新时代文化高地，丰富人民精神文化生活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十九）提高社会文明程度。推动学习贯彻习近平新时代中国特色社会主义思想走深走心走实，实现理想信念教育常态化制度化。坚持以社会主义核心价值观为引领，加强爱国主义、集体主义、社会主义教育，厚植勤劳致富、共同富裕的文化氛围。推进公民道德建设，支持培育“最美浙江人”等品牌。扎实推进新时代文明实践中心建设，深入实施文明创建工程，打造精神文明高地。完善覆盖全省的现代公共文化服务体系，提高城乡基本公共文化服务均等化水平，深入创新实施文化惠民工程，优化基层公共文化服务网络。弘扬诚信文化，推进诚信建设，营造人与人之间互帮互助、和睦友好的社会风尚。加强家庭家教家风建设，健全志愿服务体系，广泛开展志愿服务关爱行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传承弘扬中华优秀传统文化、革命文化、社会主义先进文化。传承弘扬中华优秀传统文化，充分挖掘浙江文化优势，深入推进大运河国家文化公园、大运河文化带建设，振兴非遗记忆。传承红色基因，大力弘扬革命文化，提升爱国主义教育基地建设水平。实施重大文化设施建设工程，打造具有国际影响力的影视文化创新中心和数字文化产业集群，提供更多优秀文艺作品、优秀文化产品和优质旅游产品，更好满足人民群众文化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六、践行绿水青山就是金山银山理念，打造美丽宜居的生活环境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一）高水平建设美丽浙江。支持浙江开展国家生态文明试验区建设，绘好新时代“富春山居图”。强化国土空间规划和用途管控，优化省域空间布局，落实生态保护、基本农田、城镇开发等空间管控边界。坚持最严格的耕地保护制度和最严格的节约用地制度，严格规范执行耕地占补平衡制度，对违法占用耕地“零容忍”，坚决有效遏制增量，依法有序整治存量，强化耕地数量保护和质量提升。深化生态文明体制改革，实行最严格的生态环境保护制度，健全明晰高效的自然资源资产产权制度。坚持山水林田湖草系统治理，全面提升生物多样性保护水平。完善生态保护补偿机制，推广新安江等跨流域共治共保共享经验。继续打好蓝天、碧水、净土保卫战，强化多污染物协同控制和区域协同治理，推进生态环境持续改善。推进海岸带综合保护与利用。推进海岛特色化差异化发展，加强海岛生态环境保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二）全面推进生产生活方式绿色转型。拓宽绿水青山就是金山银山转化通道，建立健全生态产品价值实现机制，探索完善具有浙江特点的生态系统生产总值（GEP）核算应用体系。高标准制定实施浙江省碳排放达峰行动方案。推进排污权、用能权、用水权市场化交易，积极参与全国碳排放权交易市场。大力发展绿色金融。全面促进能源资源节约集约利用，进一步推进生活垃圾分类，加快构建家电、汽车等废旧物资循环利用体系。深化“无废城市”建设。大力推行简约适度、绿色低碳、文明健康的生活方式，广泛开展绿色生活创建行动，促进人与自然和谐共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七、坚持和发展新时代“枫桥经验”，构建舒心安心放心的社会环境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三）以数字化改革提升治理效能。强化数字赋能，聚焦党政机关整体智治、数字经济、数字社会、数字政府、数字法治等领域，探索智慧治理新平台、新机制、新模式。推进“互联网+放管服”，全面推行“掌上办事”、“掌上办公”。深化“一件事”集成改革。健全党组织领导的自治、法治、德治、智治融合的城乡基层治理体系，完善基层民主协商制度，推进市域社会治理现代化，建设人人有责、人人尽责、人人享有的社会治理共同体。推进“最多跑一地”改革，完善县级社会矛盾纠纷调处化解中心工作机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四）全面建设法治浙江、平安浙江。健全覆盖城乡的公共法律服务体系，加大普法力度，推动尊法学法守法用法，促进公平正义，建设法治社会。构建全覆盖的政府监管体系和行政执法体系。高水平建设平安中国示范区，把保护人民生命安全摆在首位，加强社会治安防控体系建设，全面提高公共安全保障能力。建立健全覆盖各领域各方面的风险监测防控平台，健全防范化解重大风险挑战体制机制，守住不发生系统性风险底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八、保障措施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五）坚持和加强党的全面领导。把党的领导贯穿推动浙江高质量发展建设共同富裕示范区的全过程、各领域、各环节。落实全面从严治党主体责任、监督责任，持之以恒加强党风廉政建设，不断深化清廉浙江建设，营造风清气正的良好政治生态。以正确用人导向引领干部干事创业，落实“三个区分开来”要求，做好容错纠错工作，加强对敢担当善作为干部的激励保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六）强化政策保障和改革授权。中央和国家机关有关部门要结合自身职能，加强对浙江省的指导督促，根据本意见有针对性制定出台专项政策，优先将本领域改革试点、探索示范任务赋予浙江，并加强对改革试验、政策实施的监督检查。根据浙江高质量发展建设共同富裕示范区需要，在科技创新、数字化改革、分配制度改革、城乡区域协调发展、公共服务、生态产品价值实现等方面给予改革授权。涉及重要政策、重要规划、重大项目的，要依法依规办理并按程序报批。有关改革政策措施凡涉及调整现行法律或行政法规的，按法定程序经全国人大常委会或国务院统一授权后实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二十七）建立评价体系和示范推广机制。加快构建推动共同富裕的综合评价体系，建立评估机制，坚持定量与定性、客观评价与主观评价相结合，全面反映共同富裕示范区建设工作成效，更好反映人民群众满意度和认同感。建立健全示范推广机制，及时总结示范区建设的好经验好做法，归纳提炼体制机制创新成果，成熟一批、推广一批，发挥好对全国其他地区的示范带动作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二十八）完善实施机制。健全中央统筹、省负总责、市县抓落实的实施机制。依托推动长三角一体化发展领导小组，加强对浙江建设共同富裕示范区的统筹指导，国家发展改革委牵头设立工作专班负责协调推进本意见提出的任务措施。浙江省要切实承担主体责任，增强敢闯敢试、改革破难的担当精神，始终保持奋进姿态，立足省情和发展实际，制定具体实施方案，充分动员各方力量，不断开辟干在实处、走在前列、勇立潮头新境界。重大事项及时向党中央、国务院请示报告。</w:t>
      </w:r>
    </w:p>
    <w:p>
      <w:pPr>
        <w:keepNext w:val="0"/>
        <w:keepLines w:val="0"/>
        <w:pageBreakBefore w:val="0"/>
        <w:widowControl w:val="0"/>
        <w:kinsoku/>
        <w:wordWrap/>
        <w:overflowPunct/>
        <w:topLinePunct w:val="0"/>
        <w:autoSpaceDE/>
        <w:autoSpaceDN/>
        <w:bidi w:val="0"/>
        <w:adjustRightInd/>
        <w:snapToGrid/>
        <w:spacing w:line="360" w:lineRule="auto"/>
        <w:ind w:firstLine="4200" w:firstLineChars="2000"/>
        <w:jc w:val="center"/>
        <w:textAlignment w:val="auto"/>
        <w:rPr>
          <w:rFonts w:ascii="仿宋" w:hAnsi="仿宋" w:eastAsia="仿宋"/>
          <w:b/>
          <w:bCs/>
          <w:sz w:val="36"/>
          <w:szCs w:val="36"/>
        </w:rPr>
      </w:pPr>
      <w:r>
        <w:rPr>
          <w:rFonts w:hint="eastAsia" w:ascii="仿宋" w:hAnsi="仿宋" w:eastAsia="仿宋" w:cs="仿宋"/>
          <w:sz w:val="21"/>
          <w:szCs w:val="21"/>
          <w:lang w:val="en-US" w:eastAsia="zh-CN"/>
        </w:rPr>
        <w:t>来源：人民网  责编：张靓怡(实习生)、吴楠</w:t>
      </w:r>
      <w:r>
        <w:rPr>
          <w:rFonts w:hint="eastAsia" w:ascii="仿宋" w:hAnsi="仿宋" w:eastAsia="仿宋" w:cs="仿宋"/>
          <w:sz w:val="21"/>
          <w:szCs w:val="21"/>
        </w:rPr>
        <w:br w:type="page"/>
      </w:r>
      <w:bookmarkStart w:id="29" w:name="_Toc16852"/>
      <w:r>
        <w:rPr>
          <w:rFonts w:hint="eastAsia" w:ascii="仿宋" w:hAnsi="仿宋" w:eastAsia="仿宋"/>
          <w:b/>
          <w:bCs/>
          <w:sz w:val="36"/>
          <w:szCs w:val="36"/>
        </w:rPr>
        <w:t>第五章每月推荐</w:t>
      </w:r>
      <w:bookmarkEnd w:id="29"/>
    </w:p>
    <w:p>
      <w:pPr>
        <w:widowControl/>
        <w:spacing w:line="360" w:lineRule="auto"/>
        <w:jc w:val="center"/>
        <w:outlineLvl w:val="1"/>
        <w:rPr>
          <w:rFonts w:ascii="仿宋" w:hAnsi="仿宋" w:eastAsia="仿宋"/>
          <w:b/>
          <w:bCs/>
          <w:color w:val="333333"/>
          <w:kern w:val="0"/>
          <w:sz w:val="28"/>
          <w:szCs w:val="28"/>
        </w:rPr>
      </w:pPr>
      <w:r>
        <w:rPr>
          <w:rFonts w:hint="eastAsia" w:ascii="仿宋" w:hAnsi="仿宋" w:eastAsia="仿宋"/>
          <w:b/>
          <w:bCs/>
          <w:color w:val="333333"/>
          <w:kern w:val="0"/>
          <w:sz w:val="28"/>
          <w:szCs w:val="28"/>
        </w:rPr>
        <w:t>《麦田里的守望者》</w:t>
      </w:r>
    </w:p>
    <w:p>
      <w:pPr>
        <w:widowControl/>
        <w:spacing w:line="360" w:lineRule="auto"/>
        <w:jc w:val="left"/>
        <w:rPr>
          <w:rFonts w:hint="eastAsia" w:ascii="仿宋" w:hAnsi="仿宋" w:eastAsia="仿宋"/>
          <w:b/>
          <w:bCs/>
          <w:color w:val="333333"/>
          <w:kern w:val="0"/>
          <w:sz w:val="21"/>
          <w:szCs w:val="21"/>
        </w:rPr>
      </w:pPr>
      <w:r>
        <w:rPr>
          <w:rFonts w:hint="eastAsia" w:ascii="仿宋" w:hAnsi="仿宋" w:eastAsia="仿宋"/>
          <w:b/>
          <w:bCs/>
          <w:color w:val="333333"/>
          <w:kern w:val="0"/>
          <w:sz w:val="21"/>
          <w:szCs w:val="21"/>
        </w:rPr>
        <w:t>时代背景</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b w:val="0"/>
          <w:bCs w:val="0"/>
          <w:color w:val="333333"/>
          <w:kern w:val="0"/>
          <w:sz w:val="21"/>
          <w:szCs w:val="21"/>
        </w:rPr>
      </w:pPr>
      <w:r>
        <w:rPr>
          <w:rFonts w:hint="eastAsia" w:ascii="仿宋" w:hAnsi="仿宋" w:eastAsia="仿宋"/>
          <w:b w:val="0"/>
          <w:bCs w:val="0"/>
          <w:color w:val="333333"/>
          <w:kern w:val="0"/>
          <w:sz w:val="21"/>
          <w:szCs w:val="21"/>
        </w:rPr>
        <w:t>20世纪50年代的美国刚刚赢得了二战的胜利，成为了一个政治、经济和军事大国。在这样的时期，"纽约"就是美国实利主义社会的一个代表。它象征着最"假模假式"的一切，人们的精神生活是一片荒原，没有人在意别人的感受。</w:t>
      </w:r>
    </w:p>
    <w:p>
      <w:pPr>
        <w:widowControl/>
        <w:spacing w:line="360" w:lineRule="auto"/>
        <w:rPr>
          <w:rFonts w:hint="eastAsia" w:ascii="仿宋" w:hAnsi="仿宋" w:eastAsia="仿宋"/>
          <w:b/>
          <w:bCs/>
          <w:sz w:val="21"/>
          <w:szCs w:val="21"/>
        </w:rPr>
      </w:pPr>
      <w:r>
        <w:rPr>
          <w:rFonts w:hint="eastAsia" w:ascii="仿宋" w:hAnsi="仿宋" w:eastAsia="仿宋"/>
          <w:b/>
          <w:bCs/>
          <w:sz w:val="21"/>
          <w:szCs w:val="21"/>
        </w:rPr>
        <w:t>内容简介</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b w:val="0"/>
          <w:bCs w:val="0"/>
          <w:sz w:val="21"/>
          <w:szCs w:val="21"/>
        </w:rPr>
      </w:pPr>
      <w:r>
        <w:rPr>
          <w:rFonts w:hint="eastAsia" w:ascii="仿宋" w:hAnsi="仿宋" w:eastAsia="仿宋"/>
          <w:b w:val="0"/>
          <w:bCs w:val="0"/>
          <w:sz w:val="21"/>
          <w:szCs w:val="21"/>
        </w:rPr>
        <w:t>该书的主人公霍尔顿是个中学生，出生于富裕的中产阶级家庭。他虽只有16岁，但比常人高一头，整日穿着风衣，戴着猎帽，游游荡荡，不愿读书。他对学校里的一切——老师、同学、功课、球赛等等，全都腻烦透了，曾是学校击剑队队长，3次被学校开除。它不仅生动细致地描绘了一个不安现状的中产阶级子弟的苦闷仿徨、孤独愤世的精神世界，一个青春期少年矛盾百出的心理特征，也批判了成人社会的虚伪和做作。《麦田里的守望者》是美国作家杰罗姆·大卫·塞林格创作的唯一一部长篇小说，首次出版于1951年。塞林格将故事的起止局限于16岁的中学生霍尔顿·考尔菲德从离开学校到纽约游荡的三天时间内，并借鉴了意识流天马行空的写作方法，充分探索了一个十几岁少年的内心世界。</w:t>
      </w:r>
    </w:p>
    <w:p>
      <w:pPr>
        <w:widowControl/>
        <w:spacing w:line="360" w:lineRule="auto"/>
        <w:jc w:val="left"/>
        <w:rPr>
          <w:rFonts w:ascii="仿宋" w:hAnsi="仿宋" w:eastAsia="仿宋"/>
          <w:b/>
          <w:bCs/>
          <w:color w:val="000000"/>
          <w:kern w:val="0"/>
          <w:sz w:val="21"/>
          <w:szCs w:val="21"/>
        </w:rPr>
      </w:pPr>
      <w:r>
        <w:rPr>
          <w:rFonts w:hint="eastAsia" w:ascii="仿宋" w:hAnsi="仿宋" w:eastAsia="仿宋"/>
          <w:b/>
          <w:bCs/>
          <w:color w:val="000000"/>
          <w:kern w:val="0"/>
          <w:sz w:val="21"/>
          <w:szCs w:val="21"/>
        </w:rPr>
        <w:t>作者简介</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b/>
          <w:bCs/>
          <w:color w:val="000000"/>
          <w:kern w:val="0"/>
          <w:sz w:val="21"/>
          <w:szCs w:val="21"/>
        </w:rPr>
      </w:pPr>
      <w:r>
        <w:rPr>
          <w:rFonts w:hint="eastAsia" w:ascii="仿宋" w:hAnsi="仿宋" w:eastAsia="仿宋"/>
          <w:b w:val="0"/>
          <w:bCs w:val="0"/>
          <w:color w:val="000000"/>
          <w:kern w:val="0"/>
          <w:sz w:val="21"/>
          <w:szCs w:val="21"/>
        </w:rPr>
        <w:t>塞林格全名杰罗姆·大卫·塞林格（1919/1/1--2010/1/27）享年91岁，[1]1919年生于美国纽约城，父亲是做奶酪和火腿进口生意的犹太商人，家境相当富裕。塞林格十五岁的时候，被父母送到宾夕法尼亚州一个军事学校里住读，据说《麦田里的守望者》中关于寄宿学校的描写，很大部分是以那所学校为背景的。1936年，塞林格在军事学校毕业，取得了他毕生唯一的一张文凭。从一九四零年在《小说》杂志上发表他的头一个短篇小说起，到1951年出版他的长篇小说《麦田里的守望者》止，在十余年中他共发表了二十多个短篇，有些短篇还在《老爷》、《纽约人》等著名刊物上发表，使他在文学界有了一点点名气。而《麦田里的守望者》则使他一举成名。</w:t>
      </w:r>
    </w:p>
    <w:p>
      <w:pPr>
        <w:widowControl/>
        <w:spacing w:line="360" w:lineRule="auto"/>
        <w:rPr>
          <w:rFonts w:ascii="仿宋" w:hAnsi="仿宋" w:eastAsia="仿宋"/>
          <w:b/>
          <w:bCs/>
          <w:color w:val="000000"/>
          <w:kern w:val="0"/>
          <w:sz w:val="21"/>
          <w:szCs w:val="21"/>
        </w:rPr>
      </w:pPr>
      <w:r>
        <w:rPr>
          <w:rFonts w:hint="eastAsia" w:ascii="仿宋" w:hAnsi="仿宋" w:eastAsia="仿宋"/>
          <w:b/>
          <w:bCs/>
          <w:color w:val="000000"/>
          <w:kern w:val="0"/>
          <w:sz w:val="21"/>
          <w:szCs w:val="21"/>
        </w:rPr>
        <w:t>后世影响</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olor w:val="000000"/>
          <w:sz w:val="21"/>
          <w:szCs w:val="21"/>
        </w:rPr>
      </w:pPr>
      <w:r>
        <w:rPr>
          <w:rFonts w:hint="eastAsia" w:ascii="仿宋" w:hAnsi="仿宋" w:eastAsia="仿宋"/>
          <w:color w:val="000000"/>
          <w:sz w:val="21"/>
          <w:szCs w:val="21"/>
        </w:rPr>
        <w:t>麦田里的守望者从1951年出版以来给全世界无数彷徨的年轻人心灵的慰藉。小说一问世，霍尔顿这个对虚伪的周围环境深恶痛绝的少年形象竟然被千万读者看成是迷人的新英雄，文中的崇尚自由的亲切语言受到热烈欢迎。并且这本小说反映了二战后美国青少年矛盾混乱的人生观和道德观，代表了当时相当一部分人的思想和处境。主人公霍尔顿那种没有清楚目的的反抗，是当时学生和青少年的典型病症。《麦田里的守望者》发表后，大中学学生争相阅读，家长和教师也视小说为"必读教材"，把它当作理解当代青少年的钥匙。</w:t>
      </w:r>
    </w:p>
    <w:p>
      <w:pPr>
        <w:widowControl/>
        <w:jc w:val="left"/>
        <w:rPr>
          <w:rFonts w:hint="eastAsia" w:ascii="仿宋" w:hAnsi="仿宋" w:eastAsia="仿宋"/>
          <w:color w:val="000000"/>
          <w:sz w:val="21"/>
          <w:szCs w:val="21"/>
        </w:rPr>
      </w:pPr>
    </w:p>
    <w:p>
      <w:pPr>
        <w:widowControl/>
        <w:jc w:val="left"/>
        <w:rPr>
          <w:rFonts w:hint="eastAsia" w:ascii="仿宋" w:hAnsi="仿宋" w:eastAsia="仿宋"/>
          <w:color w:val="000000"/>
          <w:sz w:val="21"/>
          <w:szCs w:val="21"/>
        </w:rPr>
      </w:pPr>
    </w:p>
    <w:p>
      <w:pPr>
        <w:widowControl/>
        <w:jc w:val="left"/>
        <w:rPr>
          <w:rFonts w:hint="eastAsia" w:ascii="仿宋" w:hAnsi="仿宋" w:eastAsia="仿宋"/>
          <w:color w:val="000000"/>
          <w:sz w:val="21"/>
          <w:szCs w:val="21"/>
        </w:rPr>
      </w:pPr>
    </w:p>
    <w:p>
      <w:pPr>
        <w:spacing w:line="360" w:lineRule="auto"/>
        <w:ind w:firstLine="562" w:firstLineChars="200"/>
        <w:jc w:val="center"/>
        <w:outlineLvl w:val="1"/>
        <w:rPr>
          <w:rFonts w:ascii="仿宋" w:hAnsi="仿宋" w:eastAsia="仿宋"/>
          <w:b/>
          <w:bCs/>
          <w:color w:val="222222"/>
          <w:sz w:val="28"/>
          <w:szCs w:val="28"/>
          <w:shd w:val="clear" w:color="auto" w:fill="FFFFFF"/>
        </w:rPr>
      </w:pPr>
      <w:r>
        <w:rPr>
          <w:rFonts w:hint="eastAsia" w:ascii="仿宋" w:hAnsi="仿宋" w:eastAsia="仿宋"/>
          <w:b/>
          <w:bCs/>
          <w:color w:val="222222"/>
          <w:sz w:val="28"/>
          <w:szCs w:val="28"/>
          <w:shd w:val="clear" w:color="auto" w:fill="FFFFFF"/>
        </w:rPr>
        <w:t>《</w:t>
      </w:r>
      <w:r>
        <w:rPr>
          <w:rFonts w:hint="eastAsia" w:ascii="仿宋" w:hAnsi="仿宋" w:eastAsia="仿宋"/>
          <w:b/>
          <w:bCs/>
          <w:color w:val="222222"/>
          <w:sz w:val="28"/>
          <w:szCs w:val="28"/>
          <w:shd w:val="clear" w:color="auto" w:fill="FFFFFF"/>
          <w:lang w:val="en-US" w:eastAsia="zh-CN"/>
        </w:rPr>
        <w:t>喧哗与骚动</w:t>
      </w:r>
      <w:r>
        <w:rPr>
          <w:rFonts w:hint="eastAsia" w:ascii="仿宋" w:hAnsi="仿宋" w:eastAsia="仿宋"/>
          <w:b/>
          <w:bCs/>
          <w:color w:val="222222"/>
          <w:sz w:val="28"/>
          <w:szCs w:val="28"/>
          <w:shd w:val="clear" w:color="auto" w:fill="FFFFFF"/>
        </w:rPr>
        <w:t>》</w:t>
      </w:r>
    </w:p>
    <w:p>
      <w:pPr>
        <w:widowControl/>
        <w:spacing w:line="360" w:lineRule="auto"/>
        <w:jc w:val="left"/>
        <w:rPr>
          <w:rFonts w:hint="eastAsia" w:ascii="仿宋" w:hAnsi="仿宋" w:eastAsia="仿宋"/>
          <w:b/>
          <w:bCs/>
          <w:color w:val="333333"/>
          <w:kern w:val="0"/>
          <w:sz w:val="21"/>
          <w:szCs w:val="21"/>
        </w:rPr>
      </w:pPr>
      <w:r>
        <w:rPr>
          <w:rFonts w:hint="eastAsia" w:ascii="仿宋" w:hAnsi="仿宋" w:eastAsia="仿宋"/>
          <w:b/>
          <w:bCs/>
          <w:color w:val="333333"/>
          <w:kern w:val="0"/>
          <w:sz w:val="21"/>
          <w:szCs w:val="21"/>
        </w:rPr>
        <w:t>时代背景</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b w:val="0"/>
          <w:bCs w:val="0"/>
          <w:color w:val="333333"/>
          <w:kern w:val="0"/>
          <w:sz w:val="21"/>
          <w:szCs w:val="21"/>
        </w:rPr>
      </w:pPr>
      <w:r>
        <w:rPr>
          <w:rFonts w:hint="eastAsia" w:ascii="仿宋" w:hAnsi="仿宋" w:eastAsia="仿宋"/>
          <w:b w:val="0"/>
          <w:bCs w:val="0"/>
          <w:color w:val="333333"/>
          <w:kern w:val="0"/>
          <w:sz w:val="21"/>
          <w:szCs w:val="21"/>
        </w:rPr>
        <w:t>南北战争以南方的失败而告终，战争后南方的传统价值观崩溃，而统以它的惯性在南方社会还继续产生影响。福克纳受到南方传统的熏陶，他没有回避这种痛苦，而是以艺术家的敏锐眼光看清了事实，甘愿成为精神上的流浪汉。而且他又无法在由北方带来的工业文明中找到寄托。他所看到的是在资本主义发展中南方人民的痛苦。在新南方，淳朴的人际关系为金钱所取代，平静和睦的生活为混乱喧闹的都市生活所破坏。人人丧失了个性，成为被人操纵或操纵别人的机器。因而又不由自主地转而求助旧的生活方式，但马上又记起历史的负罪感而备觉惶恐。福克纳就是怀着这样一种复杂的感受来描绘南方社会，构思自己的艺术世界。</w:t>
      </w:r>
    </w:p>
    <w:p>
      <w:pPr>
        <w:widowControl/>
        <w:spacing w:line="360" w:lineRule="auto"/>
        <w:rPr>
          <w:rFonts w:hint="eastAsia" w:ascii="仿宋" w:hAnsi="仿宋" w:eastAsia="仿宋"/>
          <w:b/>
          <w:bCs/>
          <w:sz w:val="21"/>
          <w:szCs w:val="21"/>
        </w:rPr>
      </w:pPr>
      <w:r>
        <w:rPr>
          <w:rFonts w:hint="eastAsia" w:ascii="仿宋" w:hAnsi="仿宋" w:eastAsia="仿宋"/>
          <w:b/>
          <w:bCs/>
          <w:sz w:val="21"/>
          <w:szCs w:val="21"/>
        </w:rPr>
        <w:t>内容简介</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b w:val="0"/>
          <w:bCs w:val="0"/>
          <w:sz w:val="21"/>
          <w:szCs w:val="21"/>
        </w:rPr>
      </w:pPr>
      <w:r>
        <w:rPr>
          <w:rFonts w:hint="eastAsia" w:ascii="仿宋" w:hAnsi="仿宋" w:eastAsia="仿宋"/>
          <w:b w:val="0"/>
          <w:bCs w:val="0"/>
          <w:sz w:val="21"/>
          <w:szCs w:val="21"/>
        </w:rPr>
        <w:t>小说的故事发生在杰弗生镇上的康普生家。这是一个曾经显赫一时的望族。祖上出过一位州长、一位将 军。家中原来广有田地，黑奴成群，如今只剩下一幢破败的宅子。黑佣人也只剩下老婆婆迪尔西和她的小外孙勒斯特了。一家之长康普生先生是一九一二年病逝的。他在世时算是一个律师，但从不见他接洽业务。他整天醉醺醺，唠唠叨叨地发些愤世嫉俗的空论，把悲观失望的情绪传染给儿子昆丁。</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b w:val="0"/>
          <w:bCs w:val="0"/>
          <w:sz w:val="21"/>
          <w:szCs w:val="21"/>
        </w:rPr>
      </w:pPr>
      <w:r>
        <w:rPr>
          <w:rFonts w:hint="eastAsia" w:ascii="仿宋" w:hAnsi="仿宋" w:eastAsia="仿宋"/>
          <w:b w:val="0"/>
          <w:bCs w:val="0"/>
          <w:sz w:val="21"/>
          <w:szCs w:val="21"/>
        </w:rPr>
        <w:t>康普太太自私冷酷，无病呻吟，总感到自己受气吃亏，实际上是她在拖累、折磨全家人。她念念不忘南方大家闺秀的身份，以致仅仅成了一种"身份"的化身，而完全不具有作为母亲与妻子应有的温情，家中没有一个人能从她那里得到爱与温暖。</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b w:val="0"/>
          <w:bCs w:val="0"/>
          <w:sz w:val="21"/>
          <w:szCs w:val="21"/>
        </w:rPr>
      </w:pPr>
      <w:r>
        <w:rPr>
          <w:rFonts w:hint="eastAsia" w:ascii="仿宋" w:hAnsi="仿宋" w:eastAsia="仿宋"/>
          <w:b w:val="0"/>
          <w:bCs w:val="0"/>
          <w:sz w:val="21"/>
          <w:szCs w:val="21"/>
        </w:rPr>
        <w:t>女儿凯蒂可以说是全书的中心，虽然没有以她的观点为中心的单独的一章，但书中一切人物的所作所为都与她息息相关。物极必反，从古板高傲、规矩极多的旧世家里偏偏会出现浪荡子女。用一位外国批评家的话来说，是："太多的责任导致了不负责任。凯蒂从"南方女"的规约下冲出来，走过了头，成了一个轻佻放荡的女子。她与男子幽会，有了身孕，不得不与另一男子结婚。婚后丈夫发现隐情，抛弃了她。只得把私生女（也叫昆丁）寄养在母亲家，自己到大城市去闯荡。</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b w:val="0"/>
          <w:bCs w:val="0"/>
          <w:sz w:val="21"/>
          <w:szCs w:val="21"/>
        </w:rPr>
      </w:pPr>
      <w:r>
        <w:rPr>
          <w:rFonts w:hint="eastAsia" w:ascii="仿宋" w:hAnsi="仿宋" w:eastAsia="仿宋"/>
          <w:b w:val="0"/>
          <w:bCs w:val="0"/>
          <w:sz w:val="21"/>
          <w:szCs w:val="21"/>
        </w:rPr>
        <w:t>哥哥昆丁和凯蒂儿时感情很好。作为没落的庄园主阶级的最后一代的代表者，一种没落感始终追随着昆丁。这个"簪缨之家"的孑遗极其骄傲，极其敏感，却又极其孱弱（精神上、肉体上都是如此）。他偏偏又过分重视妹妹的贞操把它与门第的荣誉甚至自己生与死的问题联系在一起。凯蒂的遭遇一下子使他失去了精神平衡。就在妹妹结婚一个多月后，他投河自尽了。</w:t>
      </w:r>
    </w:p>
    <w:p>
      <w:pPr>
        <w:widowControl/>
        <w:spacing w:line="360" w:lineRule="auto"/>
        <w:jc w:val="left"/>
        <w:rPr>
          <w:rFonts w:hint="eastAsia" w:ascii="仿宋" w:hAnsi="仿宋" w:eastAsia="仿宋"/>
          <w:b/>
          <w:bCs/>
          <w:color w:val="000000"/>
          <w:kern w:val="0"/>
          <w:sz w:val="21"/>
          <w:szCs w:val="21"/>
        </w:rPr>
      </w:pPr>
      <w:r>
        <w:rPr>
          <w:rFonts w:hint="eastAsia" w:ascii="仿宋" w:hAnsi="仿宋" w:eastAsia="仿宋"/>
          <w:b/>
          <w:bCs/>
          <w:color w:val="000000"/>
          <w:kern w:val="0"/>
          <w:sz w:val="21"/>
          <w:szCs w:val="21"/>
        </w:rPr>
        <w:t>作者简介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b w:val="0"/>
          <w:bCs w:val="0"/>
          <w:color w:val="000000"/>
          <w:kern w:val="0"/>
          <w:sz w:val="21"/>
          <w:szCs w:val="21"/>
        </w:rPr>
      </w:pPr>
      <w:r>
        <w:rPr>
          <w:rFonts w:hint="eastAsia" w:ascii="仿宋" w:hAnsi="仿宋" w:eastAsia="仿宋"/>
          <w:b w:val="0"/>
          <w:bCs w:val="0"/>
          <w:color w:val="000000"/>
          <w:kern w:val="0"/>
          <w:sz w:val="21"/>
          <w:szCs w:val="21"/>
        </w:rPr>
        <w:t>威廉·福克纳（</w:t>
      </w:r>
      <w:r>
        <w:rPr>
          <w:rFonts w:hint="eastAsia" w:ascii="仿宋" w:hAnsi="仿宋" w:eastAsia="仿宋"/>
          <w:b w:val="0"/>
          <w:bCs w:val="0"/>
          <w:color w:val="auto"/>
          <w:kern w:val="0"/>
          <w:sz w:val="21"/>
          <w:szCs w:val="21"/>
          <w:u w:val="none"/>
        </w:rPr>
        <w:t>Willian</w:t>
      </w:r>
      <w:r>
        <w:rPr>
          <w:rFonts w:hint="eastAsia" w:ascii="仿宋" w:hAnsi="仿宋" w:eastAsia="仿宋"/>
          <w:b w:val="0"/>
          <w:bCs w:val="0"/>
          <w:color w:val="000000"/>
          <w:kern w:val="0"/>
          <w:sz w:val="21"/>
          <w:szCs w:val="21"/>
          <w:u w:val="none"/>
        </w:rPr>
        <w:t xml:space="preserve"> </w:t>
      </w:r>
      <w:r>
        <w:rPr>
          <w:rFonts w:hint="eastAsia" w:ascii="仿宋" w:hAnsi="仿宋" w:eastAsia="仿宋"/>
          <w:b w:val="0"/>
          <w:bCs w:val="0"/>
          <w:color w:val="000000"/>
          <w:kern w:val="0"/>
          <w:sz w:val="21"/>
          <w:szCs w:val="21"/>
        </w:rPr>
        <w:t>Faulkner，1897~1962），美国小说家。他被西方文 学界视作"现代的经典作家"，共写了19部长篇小说和70多篇短篇小说。其中绝大多数故事发生在虚构的约克纳帕塔法县，被称为"约克纳帕塔法世系"。这部世系主要写该县及杰弗生镇不同社会阶层的若干家庭几代人的故事，时间从独立战争前到第二次世界大战以后，出场人物有600多人。其中主要人物在他的不同作品中交替出现，实为一部多卷体的美国南社会变迁的历史。其最著名的作品有描写杰弗生镇望族康普生家庭的没落及成员的精神状态和生活遭遇的《喧哗与骚动》；写安斯·本德仑偕儿子运送妻子灵柩回杰弗生安葬途中经历种种磨难的《我弥留之际》（1930）；写一个有罪孽的庄园主塞德潘及其子女和庄园的毁灭性结局的《押沙龙，押沙龙!》等。 福克纳在1949年获诺贝尔文学奖。</w:t>
      </w:r>
    </w:p>
    <w:p>
      <w:pPr>
        <w:widowControl/>
        <w:spacing w:line="360" w:lineRule="auto"/>
        <w:rPr>
          <w:rFonts w:hint="eastAsia" w:ascii="仿宋" w:hAnsi="仿宋" w:eastAsia="仿宋"/>
          <w:b/>
          <w:bCs/>
          <w:color w:val="000000"/>
          <w:kern w:val="0"/>
          <w:sz w:val="21"/>
          <w:szCs w:val="21"/>
        </w:rPr>
      </w:pPr>
      <w:r>
        <w:rPr>
          <w:rFonts w:hint="eastAsia" w:ascii="仿宋" w:hAnsi="仿宋" w:eastAsia="仿宋"/>
          <w:b/>
          <w:bCs/>
          <w:color w:val="000000"/>
          <w:kern w:val="0"/>
          <w:sz w:val="21"/>
          <w:szCs w:val="21"/>
        </w:rPr>
        <w:t>后世影响</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仿宋" w:hAnsi="仿宋" w:eastAsia="仿宋"/>
          <w:b w:val="0"/>
          <w:bCs w:val="0"/>
          <w:color w:val="000000"/>
          <w:kern w:val="0"/>
          <w:sz w:val="21"/>
          <w:szCs w:val="21"/>
        </w:rPr>
      </w:pPr>
      <w:r>
        <w:rPr>
          <w:rFonts w:hint="eastAsia" w:ascii="仿宋" w:hAnsi="仿宋" w:eastAsia="仿宋"/>
          <w:b w:val="0"/>
          <w:bCs w:val="0"/>
          <w:color w:val="000000"/>
          <w:kern w:val="0"/>
          <w:sz w:val="21"/>
          <w:szCs w:val="21"/>
        </w:rPr>
        <w:t>《喧哗与骚动》是美国南方文学领军人物威廉·福克纳的重要代表作之一，是第一部为作者带来盛誉的作品，也是作者的得意之作，也是福克纳第一部成熟的作品，也是福克纳心血花得最多，他自己最喜爱的一部作品。该书在出版了多年之后，才因其复杂的结构和令人迷惑的内容而引起极大的关注。小说表现了福克纳先进的写作意识和创造性思维，成为批评家争相研究的对象。评论家从不同的角度对该小说做了多方面的研究。小说独特的叙事技巧吸引了许多读者的兴趣，而从巴赫金的复调理论研究这本书的学术论著还不多见。巴赫金的理论主要有时空体理论、对话理论、复调理论和狂欢化理论，它们相互渗透，彼此影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dalus">
    <w:altName w:val="Times New Roman"/>
    <w:panose1 w:val="00000000000000000000"/>
    <w:charset w:val="00"/>
    <w:family w:val="roman"/>
    <w:pitch w:val="default"/>
    <w:sig w:usb0="00000000" w:usb1="00000000" w:usb2="00000008" w:usb3="00000000" w:csb0="00000041" w:csb1="200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vert="horz" wrap="none" lIns="0" tIns="0" rIns="0" bIns="0" anchor="t">
                      <a:spAutoFit/>
                    </wps:bodyPr>
                  </wps:wsp>
                </a:graphicData>
              </a:graphic>
            </wp:anchor>
          </w:drawing>
        </mc:Choice>
        <mc:Fallback>
          <w:pict>
            <v:rect id="文本框 2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cFzBPKAQAAkwMAAA4AAAAAAAAAAQAgAAAAHwEAAGRycy9lMm9E&#10;b2MueG1sUEsFBgAAAAAGAAYAWQEAAFsFA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p>
                      </w:txbxContent>
                    </wps:txbx>
                    <wps:bodyPr vert="horz" wrap="none" lIns="0" tIns="0" rIns="0" bIns="0" anchor="t">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ILTvjfKAQAAkwMAAA4AAAAAAAAAAQAgAAAAHwEAAGRycy9lMm9E&#10;b2MueG1sUEsFBgAAAAAGAAYAWQEAAFsFAAAAAA==&#10;">
              <v:fill on="f" focussize="0,0"/>
              <v:stroke on="f"/>
              <v:imagedata o:title=""/>
              <o:lock v:ext="edit" aspectratio="f"/>
              <v:textbox inset="0mm,0mm,0mm,0mm" style="mso-fit-shape-to-text:t;">
                <w:txbxContent>
                  <w:p>
                    <w:pPr>
                      <w:pStyle w:val="6"/>
                    </w:pPr>
                  </w:p>
                </w:txbxContent>
              </v:textbox>
            </v:rect>
          </w:pict>
        </mc:Fallback>
      </mc:AlternateContent>
    </w:r>
  </w:p>
  <w:p>
    <w:pPr>
      <w:pStyle w:val="6"/>
      <w:tabs>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fldChar w:fldCharType="end"/>
    </w:r>
  </w:p>
  <w:p>
    <w:pPr>
      <w:pStyle w:val="6"/>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3"/>
      <w:numFmt w:val="decimal"/>
      <w:suff w:val="space"/>
      <w:lvlText w:val="%1."/>
      <w:lvlJc w:val="left"/>
    </w:lvl>
  </w:abstractNum>
  <w:abstractNum w:abstractNumId="1">
    <w:nsid w:val="00000001"/>
    <w:multiLevelType w:val="singleLevel"/>
    <w:tmpl w:val="00000001"/>
    <w:lvl w:ilvl="0" w:tentative="0">
      <w:start w:val="2"/>
      <w:numFmt w:val="chineseCounting"/>
      <w:suff w:val="space"/>
      <w:lvlText w:val="第%1章"/>
      <w:lvlJc w:val="left"/>
      <w:rPr>
        <w:rFonts w:hint="eastAsia"/>
      </w:rPr>
    </w:lvl>
  </w:abstractNum>
  <w:abstractNum w:abstractNumId="2">
    <w:nsid w:val="00000002"/>
    <w:multiLevelType w:val="singleLevel"/>
    <w:tmpl w:val="00000002"/>
    <w:lvl w:ilvl="0" w:tentative="0">
      <w:start w:val="2"/>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FF25797"/>
    <w:rsid w:val="459758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仿宋"/>
      <w:kern w:val="21"/>
      <w:sz w:val="24"/>
      <w:szCs w:val="24"/>
      <w:lang w:val="en-US" w:eastAsia="zh-CN" w:bidi="ar-SA"/>
    </w:rPr>
  </w:style>
  <w:style w:type="paragraph" w:styleId="2">
    <w:name w:val="heading 1"/>
    <w:basedOn w:val="1"/>
    <w:next w:val="1"/>
    <w:link w:val="19"/>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21"/>
    <w:qFormat/>
    <w:uiPriority w:val="9"/>
    <w:pPr>
      <w:keepNext/>
      <w:keepLines/>
      <w:spacing w:before="260" w:after="260" w:line="416" w:lineRule="auto"/>
      <w:outlineLvl w:val="1"/>
    </w:pPr>
    <w:rPr>
      <w:rFonts w:ascii="等线 Light" w:hAnsi="等线 Light" w:eastAsia="等线 Light" w:cs="宋体"/>
      <w:b/>
      <w:bCs/>
      <w:sz w:val="32"/>
      <w:szCs w:val="32"/>
    </w:rPr>
  </w:style>
  <w:style w:type="paragraph" w:styleId="4">
    <w:name w:val="heading 3"/>
    <w:basedOn w:val="1"/>
    <w:next w:val="1"/>
    <w:qFormat/>
    <w:uiPriority w:val="9"/>
    <w:pPr>
      <w:spacing w:before="0" w:beforeAutospacing="1" w:after="0" w:afterAutospacing="1"/>
      <w:jc w:val="left"/>
    </w:pPr>
    <w:rPr>
      <w:rFonts w:hint="eastAsia" w:ascii="宋体" w:hAnsi="宋体" w:eastAsia="宋体" w:cs="宋体"/>
      <w:b/>
      <w:kern w:val="0"/>
      <w:sz w:val="27"/>
      <w:szCs w:val="27"/>
      <w:lang w:val="en-US" w:eastAsia="zh-CN"/>
    </w:rPr>
  </w:style>
  <w:style w:type="character" w:default="1" w:styleId="12">
    <w:name w:val="Default Paragraph Font"/>
    <w:qFormat/>
    <w:uiPriority w:val="1"/>
  </w:style>
  <w:style w:type="table" w:default="1" w:styleId="11">
    <w:name w:val="Normal Table"/>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rPr>
      <w:rFonts w:ascii="Calibri" w:hAnsi="Calibri" w:eastAsia="宋体" w:cs="Times New Roman"/>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rPr>
      <w:rFonts w:ascii="Calibri" w:hAnsi="Calibri" w:eastAsia="宋体" w:cs="Times New Roman"/>
    </w:rPr>
  </w:style>
  <w:style w:type="paragraph" w:styleId="9">
    <w:name w:val="toc 2"/>
    <w:basedOn w:val="1"/>
    <w:next w:val="1"/>
    <w:qFormat/>
    <w:uiPriority w:val="39"/>
    <w:pPr>
      <w:ind w:left="420" w:leftChars="200"/>
    </w:pPr>
    <w:rPr>
      <w:rFonts w:ascii="Calibri" w:hAnsi="Calibri" w:eastAsia="宋体" w:cs="Times New Roman"/>
    </w:rPr>
  </w:style>
  <w:style w:type="paragraph" w:styleId="10">
    <w:name w:val="Normal (Web)"/>
    <w:basedOn w:val="1"/>
    <w:qFormat/>
    <w:uiPriority w:val="99"/>
    <w:pPr>
      <w:spacing w:before="100" w:beforeAutospacing="1" w:after="100" w:afterAutospacing="1"/>
      <w:jc w:val="left"/>
    </w:pPr>
    <w:rPr>
      <w:rFonts w:ascii="Times New Roman" w:hAnsi="Times New Roman" w:eastAsia="宋体" w:cs="Times New Roman"/>
      <w:kern w:val="0"/>
    </w:rPr>
  </w:style>
  <w:style w:type="character" w:styleId="13">
    <w:name w:val="Strong"/>
    <w:basedOn w:val="12"/>
    <w:qFormat/>
    <w:uiPriority w:val="0"/>
    <w:rPr>
      <w:rFonts w:ascii="Times New Roman" w:hAnsi="Times New Roman" w:eastAsia="宋体" w:cs="Times New Roman"/>
      <w:b/>
    </w:rPr>
  </w:style>
  <w:style w:type="character" w:styleId="14">
    <w:name w:val="Emphasis"/>
    <w:basedOn w:val="12"/>
    <w:qFormat/>
    <w:uiPriority w:val="20"/>
    <w:rPr>
      <w:i/>
    </w:rPr>
  </w:style>
  <w:style w:type="character" w:styleId="15">
    <w:name w:val="Hyperlink"/>
    <w:basedOn w:val="12"/>
    <w:qFormat/>
    <w:uiPriority w:val="99"/>
    <w:rPr>
      <w:color w:val="0000FF"/>
      <w:u w:val="single"/>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paragraph" w:customStyle="1" w:styleId="18">
    <w:name w:val="WPSOffice手动目录 1"/>
    <w:qFormat/>
    <w:uiPriority w:val="0"/>
    <w:rPr>
      <w:rFonts w:ascii="Times New Roman" w:hAnsi="Times New Roman" w:eastAsia="宋体" w:cs="Times New Roman"/>
      <w:kern w:val="0"/>
      <w:sz w:val="20"/>
      <w:szCs w:val="20"/>
      <w:lang w:val="en-US" w:eastAsia="zh-CN" w:bidi="ar-SA"/>
    </w:rPr>
  </w:style>
  <w:style w:type="character" w:customStyle="1" w:styleId="19">
    <w:name w:val="标题 1 字符"/>
    <w:basedOn w:val="12"/>
    <w:link w:val="2"/>
    <w:qFormat/>
    <w:uiPriority w:val="0"/>
    <w:rPr>
      <w:rFonts w:ascii="宋体" w:hAnsi="宋体" w:eastAsia="宋体" w:cs="Times New Roman"/>
      <w:b/>
      <w:kern w:val="44"/>
      <w:sz w:val="48"/>
      <w:szCs w:val="48"/>
    </w:rPr>
  </w:style>
  <w:style w:type="paragraph" w:customStyle="1" w:styleId="20">
    <w:name w:val="text_align-justify"/>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21">
    <w:name w:val="标题 2 字符"/>
    <w:basedOn w:val="12"/>
    <w:link w:val="3"/>
    <w:qFormat/>
    <w:uiPriority w:val="9"/>
    <w:rPr>
      <w:rFonts w:ascii="等线 Light" w:hAnsi="等线 Light" w:eastAsia="等线 Light" w:cs="宋体"/>
      <w:b/>
      <w:bCs/>
      <w:kern w:val="21"/>
      <w:sz w:val="32"/>
      <w:szCs w:val="32"/>
    </w:rPr>
  </w:style>
  <w:style w:type="character" w:customStyle="1" w:styleId="22">
    <w:name w:val="render-detail-editors-name"/>
    <w:basedOn w:val="12"/>
    <w:qFormat/>
    <w:uiPriority w:val="0"/>
  </w:style>
  <w:style w:type="paragraph" w:customStyle="1" w:styleId="23">
    <w:name w:val="text_indent-0em"/>
    <w:basedOn w:val="1"/>
    <w:qFormat/>
    <w:uiPriority w:val="0"/>
    <w:pPr>
      <w:widowControl/>
      <w:spacing w:before="100" w:beforeAutospacing="1" w:after="100" w:afterAutospacing="1"/>
      <w:jc w:val="left"/>
    </w:pPr>
    <w:rPr>
      <w:rFonts w:ascii="宋体" w:hAnsi="宋体" w:eastAsia="宋体" w:cs="宋体"/>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39087</Words>
  <Characters>39763</Characters>
  <Lines>0</Lines>
  <Paragraphs>376</Paragraphs>
  <TotalTime>16</TotalTime>
  <ScaleCrop>false</ScaleCrop>
  <LinksUpToDate>false</LinksUpToDate>
  <CharactersWithSpaces>40380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2021-05-23T07:15:00Z</dcterms:created>
  <dc:creator>Elizabeth Regina</dc:creator>
  <cp:lastModifiedBy>lenovo</cp:lastModifiedBy>
  <dcterms:modified xsi:type="dcterms:W3CDTF">2021-06-29T14:32:43Z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DC71CFF8F2B74ABCAE715DB09B0742B4</vt:lpwstr>
  </property>
</Properties>
</file>